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DD923" w14:textId="338E8DA1" w:rsidR="00B95AAD" w:rsidRDefault="0059193B" w:rsidP="00B95AAD">
      <w:pPr>
        <w:rPr>
          <w:b/>
          <w:u w:val="single"/>
        </w:rPr>
      </w:pPr>
      <w:r>
        <w:rPr>
          <w:b/>
        </w:rPr>
        <w:t xml:space="preserve"> </w:t>
      </w:r>
      <w:r w:rsidR="00B95AAD" w:rsidRPr="00B95AAD">
        <w:rPr>
          <w:b/>
        </w:rPr>
        <w:t xml:space="preserve">           </w:t>
      </w:r>
      <w:r w:rsidR="00B95AAD">
        <w:rPr>
          <w:b/>
        </w:rPr>
        <w:t xml:space="preserve">                                                                                                                      </w:t>
      </w:r>
      <w:r w:rsidR="0017561D">
        <w:rPr>
          <w:b/>
        </w:rPr>
        <w:t xml:space="preserve">                                                    </w:t>
      </w:r>
      <w:r w:rsidR="00B95AAD">
        <w:rPr>
          <w:b/>
        </w:rPr>
        <w:t xml:space="preserve">       </w:t>
      </w:r>
      <w:r w:rsidR="00B95AAD" w:rsidRPr="00B95AAD">
        <w:rPr>
          <w:b/>
        </w:rPr>
        <w:t xml:space="preserve">                </w:t>
      </w:r>
    </w:p>
    <w:p w14:paraId="4C6FFAF7" w14:textId="77777777" w:rsidR="00934426" w:rsidRDefault="00934426" w:rsidP="00E26975">
      <w:pPr>
        <w:ind w:left="360"/>
        <w:jc w:val="center"/>
        <w:rPr>
          <w:b/>
          <w:u w:val="single"/>
        </w:rPr>
      </w:pPr>
    </w:p>
    <w:p w14:paraId="7EFBBB41" w14:textId="7E367646" w:rsidR="00E26975" w:rsidRPr="00E26975" w:rsidRDefault="00EC6509" w:rsidP="00E2697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CFO </w:t>
      </w:r>
      <w:r w:rsidR="00752ECD">
        <w:rPr>
          <w:b/>
          <w:u w:val="single"/>
        </w:rPr>
        <w:t>Equality Policy 2015-</w:t>
      </w:r>
      <w:r w:rsidR="00752ECD" w:rsidRPr="00367B5C">
        <w:rPr>
          <w:b/>
          <w:color w:val="000000" w:themeColor="text1"/>
          <w:u w:val="single"/>
        </w:rPr>
        <w:t>2023</w:t>
      </w:r>
    </w:p>
    <w:p w14:paraId="1A4BB18A" w14:textId="77777777" w:rsidR="00E26975" w:rsidRPr="00B95AAD" w:rsidRDefault="00AB0B0B" w:rsidP="00B95AA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F741F1">
        <w:rPr>
          <w:b/>
          <w:u w:val="single"/>
        </w:rPr>
        <w:t>romoting</w:t>
      </w:r>
      <w:r w:rsidR="00A72EC8">
        <w:rPr>
          <w:b/>
          <w:u w:val="single"/>
        </w:rPr>
        <w:t xml:space="preserve"> </w:t>
      </w:r>
      <w:r w:rsidR="00F741F1">
        <w:rPr>
          <w:b/>
          <w:u w:val="single"/>
        </w:rPr>
        <w:t xml:space="preserve">Equality &amp; Diversity Ideals </w:t>
      </w:r>
      <w:r w:rsidR="00110F44">
        <w:rPr>
          <w:b/>
          <w:u w:val="single"/>
        </w:rPr>
        <w:t xml:space="preserve">within </w:t>
      </w:r>
      <w:r w:rsidR="00863D5F">
        <w:rPr>
          <w:b/>
          <w:u w:val="single"/>
        </w:rPr>
        <w:t>CFO Delivery</w:t>
      </w:r>
    </w:p>
    <w:p w14:paraId="64E6B799" w14:textId="77777777" w:rsidR="00601CA3" w:rsidRPr="00B95AAD" w:rsidRDefault="00803BC3" w:rsidP="00E26975">
      <w:pPr>
        <w:rPr>
          <w:b/>
          <w:u w:val="single"/>
        </w:rPr>
      </w:pPr>
      <w:r w:rsidRPr="00B95AAD">
        <w:rPr>
          <w:b/>
          <w:u w:val="single"/>
        </w:rPr>
        <w:t>Purpose</w:t>
      </w:r>
    </w:p>
    <w:p w14:paraId="021E58D4" w14:textId="6C6513DD" w:rsidR="00493F4B" w:rsidRPr="00E44A2E" w:rsidRDefault="00E26975" w:rsidP="00803BC3">
      <w:r w:rsidRPr="00E44A2E">
        <w:t xml:space="preserve">The purpose of an equality policy is to provide a statement which acts as a public commitment to promoting equality in line with the Public Sector Equality Duty (Equality Act 2010). </w:t>
      </w:r>
      <w:r w:rsidR="00110F44">
        <w:t xml:space="preserve">The </w:t>
      </w:r>
      <w:r w:rsidR="00493F4B" w:rsidRPr="00E44A2E">
        <w:t xml:space="preserve">CFO </w:t>
      </w:r>
      <w:r w:rsidR="00E22AE0" w:rsidRPr="00E44A2E">
        <w:t>Equality</w:t>
      </w:r>
      <w:r w:rsidR="00493F4B" w:rsidRPr="00E44A2E">
        <w:t xml:space="preserve"> policy shall be a publically</w:t>
      </w:r>
      <w:r w:rsidR="00110F44">
        <w:t xml:space="preserve"> accessible document on the</w:t>
      </w:r>
      <w:r w:rsidR="00661002">
        <w:t xml:space="preserve"> CFO</w:t>
      </w:r>
      <w:r w:rsidR="00493F4B" w:rsidRPr="00E44A2E">
        <w:t xml:space="preserve"> website</w:t>
      </w:r>
      <w:r w:rsidR="00287614">
        <w:t xml:space="preserve"> and be </w:t>
      </w:r>
      <w:r w:rsidR="001B6E57">
        <w:t xml:space="preserve">updated and </w:t>
      </w:r>
      <w:r w:rsidR="00287614">
        <w:t xml:space="preserve">released annually </w:t>
      </w:r>
      <w:r w:rsidR="00184139">
        <w:t xml:space="preserve">via the CFO </w:t>
      </w:r>
      <w:r w:rsidR="00DF4899">
        <w:t>Webpage</w:t>
      </w:r>
      <w:r w:rsidR="00287614">
        <w:t xml:space="preserve">. The policy will </w:t>
      </w:r>
      <w:r w:rsidR="00493F4B" w:rsidRPr="00E44A2E">
        <w:t xml:space="preserve">be annually reviewed to ensure equality remains a central aspect throughout the entirety of the CFO3 programme. </w:t>
      </w:r>
    </w:p>
    <w:p w14:paraId="6142743C" w14:textId="7BE07DF2" w:rsidR="00C24104" w:rsidRPr="00E44A2E" w:rsidRDefault="00661002" w:rsidP="00803BC3">
      <w:pPr>
        <w:rPr>
          <w:highlight w:val="yellow"/>
        </w:rPr>
      </w:pPr>
      <w:r w:rsidRPr="005526CA">
        <w:t xml:space="preserve"> </w:t>
      </w:r>
      <w:r w:rsidR="00110F44" w:rsidRPr="005526CA">
        <w:t xml:space="preserve">CFO are an agency of </w:t>
      </w:r>
      <w:r w:rsidR="00EC6509" w:rsidRPr="005526CA">
        <w:t xml:space="preserve">Her Majesty’s Prison and Probation Service (HMPPS) </w:t>
      </w:r>
      <w:r w:rsidR="004377F3" w:rsidRPr="005526CA">
        <w:t>and therefore the priorities</w:t>
      </w:r>
      <w:r w:rsidR="00033850" w:rsidRPr="005526CA">
        <w:t xml:space="preserve"> detailed </w:t>
      </w:r>
      <w:r w:rsidR="00287614" w:rsidRPr="005526CA">
        <w:t>within the</w:t>
      </w:r>
      <w:r w:rsidR="00110F44" w:rsidRPr="005526CA">
        <w:t xml:space="preserve"> </w:t>
      </w:r>
      <w:r w:rsidR="0061049B" w:rsidRPr="00367B5C">
        <w:rPr>
          <w:color w:val="000000" w:themeColor="text1"/>
        </w:rPr>
        <w:t xml:space="preserve">HMPPS </w:t>
      </w:r>
      <w:r w:rsidR="00287614" w:rsidRPr="00367B5C">
        <w:rPr>
          <w:color w:val="000000" w:themeColor="text1"/>
        </w:rPr>
        <w:t>‘Equality Strategy’</w:t>
      </w:r>
      <w:r w:rsidR="0061049B" w:rsidRPr="00367B5C">
        <w:rPr>
          <w:color w:val="000000" w:themeColor="text1"/>
        </w:rPr>
        <w:t xml:space="preserve"> 2018-2020</w:t>
      </w:r>
      <w:r w:rsidR="00287614" w:rsidRPr="00367B5C">
        <w:rPr>
          <w:color w:val="000000" w:themeColor="text1"/>
        </w:rPr>
        <w:t xml:space="preserve"> un</w:t>
      </w:r>
      <w:r w:rsidR="00287614" w:rsidRPr="005526CA">
        <w:t xml:space="preserve">derpin the CFO organisation and act as </w:t>
      </w:r>
      <w:r w:rsidR="004377F3" w:rsidRPr="005526CA">
        <w:t>a dr</w:t>
      </w:r>
      <w:r w:rsidR="00287614" w:rsidRPr="005526CA">
        <w:t xml:space="preserve">iving force for employees and project </w:t>
      </w:r>
      <w:r w:rsidR="00D73992" w:rsidRPr="005526CA">
        <w:t xml:space="preserve">implementation and </w:t>
      </w:r>
      <w:r w:rsidR="00287614" w:rsidRPr="005526CA">
        <w:t>delivery</w:t>
      </w:r>
      <w:r w:rsidR="004377F3" w:rsidRPr="00184139">
        <w:rPr>
          <w:color w:val="FF0000"/>
        </w:rPr>
        <w:t xml:space="preserve">. </w:t>
      </w:r>
      <w:r w:rsidR="001C0A0D" w:rsidRPr="00E44A2E">
        <w:t xml:space="preserve">The </w:t>
      </w:r>
      <w:r w:rsidR="00EC6509">
        <w:t>HMPPS</w:t>
      </w:r>
      <w:r w:rsidR="00453102" w:rsidRPr="00E44A2E">
        <w:t xml:space="preserve"> </w:t>
      </w:r>
      <w:r w:rsidR="001C0A0D" w:rsidRPr="00E44A2E">
        <w:t>policy and implementation plan is applicable fo</w:t>
      </w:r>
      <w:r>
        <w:t xml:space="preserve">r the staff working within </w:t>
      </w:r>
      <w:r w:rsidR="001C0A0D" w:rsidRPr="00E44A2E">
        <w:t xml:space="preserve">CFO, however an additional policy is required to </w:t>
      </w:r>
      <w:r w:rsidR="00392450">
        <w:t xml:space="preserve">ensure equality and diversity ideals are a central aspect </w:t>
      </w:r>
      <w:r w:rsidR="00A72EC8">
        <w:t>with</w:t>
      </w:r>
      <w:r w:rsidR="00392450">
        <w:t>in</w:t>
      </w:r>
      <w:r w:rsidR="00E96F4C" w:rsidRPr="00E44A2E">
        <w:t xml:space="preserve"> </w:t>
      </w:r>
      <w:r w:rsidR="001D0F07" w:rsidRPr="00E44A2E">
        <w:t xml:space="preserve">the management of </w:t>
      </w:r>
      <w:r>
        <w:t xml:space="preserve">the  </w:t>
      </w:r>
      <w:r w:rsidR="00F91BED">
        <w:t xml:space="preserve">CFO Prime </w:t>
      </w:r>
      <w:r w:rsidR="00934426">
        <w:t>Provider</w:t>
      </w:r>
      <w:r w:rsidR="00F91BED">
        <w:t>s</w:t>
      </w:r>
      <w:r w:rsidR="00517BB0">
        <w:t xml:space="preserve"> and their Sub-Contractors</w:t>
      </w:r>
      <w:r w:rsidR="00E96F4C" w:rsidRPr="00E44A2E">
        <w:t xml:space="preserve">. </w:t>
      </w:r>
      <w:r w:rsidR="00E96F4C" w:rsidRPr="00033850">
        <w:t xml:space="preserve">The policy will help to </w:t>
      </w:r>
      <w:r w:rsidR="00E22EF0" w:rsidRPr="00033850">
        <w:t>ensure equality and diversity ideals are implemented</w:t>
      </w:r>
      <w:r w:rsidR="00392450">
        <w:t xml:space="preserve"> during project</w:t>
      </w:r>
      <w:r w:rsidR="00110F44">
        <w:t xml:space="preserve"> delivery to </w:t>
      </w:r>
      <w:r w:rsidR="00F91BED" w:rsidRPr="00033850">
        <w:t xml:space="preserve">CFO </w:t>
      </w:r>
      <w:r w:rsidR="005B5C76" w:rsidRPr="00033850">
        <w:t>Participants</w:t>
      </w:r>
      <w:r w:rsidR="00DB0811" w:rsidRPr="00033850">
        <w:t>,</w:t>
      </w:r>
      <w:r w:rsidR="00F91BED" w:rsidRPr="00033850">
        <w:t xml:space="preserve"> as well as </w:t>
      </w:r>
      <w:r w:rsidR="00033850" w:rsidRPr="00033850">
        <w:t>publically promoting</w:t>
      </w:r>
      <w:r w:rsidR="00DB0811" w:rsidRPr="00033850">
        <w:t xml:space="preserve"> </w:t>
      </w:r>
      <w:r w:rsidR="00392450">
        <w:t xml:space="preserve">the importance of equality within </w:t>
      </w:r>
      <w:r w:rsidR="00287614">
        <w:t xml:space="preserve">the </w:t>
      </w:r>
      <w:r w:rsidR="00392450">
        <w:t>public sector organisation</w:t>
      </w:r>
      <w:r w:rsidR="00F91BED" w:rsidRPr="00033850">
        <w:t xml:space="preserve">. </w:t>
      </w:r>
      <w:r w:rsidR="006C21B1" w:rsidRPr="00033850">
        <w:t xml:space="preserve">The </w:t>
      </w:r>
      <w:r w:rsidR="006C21B1" w:rsidRPr="00E44A2E">
        <w:t xml:space="preserve">equality policy and implementation plan will </w:t>
      </w:r>
      <w:r w:rsidR="00174AD9" w:rsidRPr="00E44A2E">
        <w:t xml:space="preserve">largely </w:t>
      </w:r>
      <w:r w:rsidR="006C21B1" w:rsidRPr="00E44A2E">
        <w:t xml:space="preserve">contribute in providing a quality service to </w:t>
      </w:r>
      <w:r w:rsidR="00EC6509">
        <w:t>P</w:t>
      </w:r>
      <w:r w:rsidR="006C21B1" w:rsidRPr="00E44A2E">
        <w:t xml:space="preserve">articipants. </w:t>
      </w:r>
    </w:p>
    <w:p w14:paraId="4D721CFB" w14:textId="77777777" w:rsidR="00181EB3" w:rsidRPr="00E44A2E" w:rsidRDefault="00EC6509" w:rsidP="00803BC3">
      <w:r>
        <w:t xml:space="preserve">For CFO, </w:t>
      </w:r>
      <w:r w:rsidR="00181EB3" w:rsidRPr="00E44A2E">
        <w:t xml:space="preserve">working with ex-offenders, a group in society generally experiencing multiple disadvantages and not accessing main stream services, ensuring equality and equal access for all is at the heart of its business. </w:t>
      </w:r>
      <w:r w:rsidR="00661002">
        <w:t xml:space="preserve"> </w:t>
      </w:r>
      <w:r w:rsidR="00570C66" w:rsidRPr="00E44A2E">
        <w:t>CFO recognises the need to embed its commitment to diversity in all activities including commissio</w:t>
      </w:r>
      <w:r w:rsidR="00110F44">
        <w:t xml:space="preserve">ning and contracting. Each </w:t>
      </w:r>
      <w:r w:rsidR="00570C66" w:rsidRPr="00E44A2E">
        <w:t xml:space="preserve">CFO </w:t>
      </w:r>
      <w:r w:rsidR="00934426">
        <w:t>Provider</w:t>
      </w:r>
      <w:r w:rsidR="00570C66" w:rsidRPr="00E44A2E">
        <w:t xml:space="preserve"> is required to demonstrate how they will support equality and diversity during the programme. </w:t>
      </w:r>
      <w:r w:rsidR="005C508C" w:rsidRPr="00E44A2E">
        <w:t xml:space="preserve">The CFO Engagement Manager will be responsible for gathering copies of Equality policies from each prime </w:t>
      </w:r>
      <w:r w:rsidR="00934426">
        <w:t>Provider</w:t>
      </w:r>
      <w:r w:rsidR="005C508C" w:rsidRPr="00E44A2E">
        <w:t xml:space="preserve"> and ensuring annual updates are completed</w:t>
      </w:r>
      <w:r w:rsidR="00392450">
        <w:t xml:space="preserve">, </w:t>
      </w:r>
      <w:r w:rsidR="00DB0811">
        <w:t>published</w:t>
      </w:r>
      <w:r w:rsidR="00392450">
        <w:t xml:space="preserve"> and accessible</w:t>
      </w:r>
      <w:r w:rsidR="005C508C" w:rsidRPr="00E44A2E">
        <w:t xml:space="preserve">. </w:t>
      </w:r>
      <w:r w:rsidR="00184139">
        <w:t xml:space="preserve">The CFO Engagement Manager will champion cross cutting themes throughout the CFO programme. </w:t>
      </w:r>
    </w:p>
    <w:p w14:paraId="2DCEAB57" w14:textId="77777777" w:rsidR="00934426" w:rsidRDefault="00934426" w:rsidP="00E44A2E">
      <w:pPr>
        <w:tabs>
          <w:tab w:val="left" w:pos="6480"/>
        </w:tabs>
        <w:rPr>
          <w:b/>
          <w:u w:val="single"/>
        </w:rPr>
      </w:pPr>
    </w:p>
    <w:p w14:paraId="6C90007E" w14:textId="77777777" w:rsidR="00934426" w:rsidRDefault="00934426" w:rsidP="00E44A2E">
      <w:pPr>
        <w:tabs>
          <w:tab w:val="left" w:pos="6480"/>
        </w:tabs>
        <w:rPr>
          <w:b/>
          <w:u w:val="single"/>
        </w:rPr>
      </w:pPr>
    </w:p>
    <w:p w14:paraId="6B6FE472" w14:textId="77777777" w:rsidR="00934426" w:rsidRDefault="00934426" w:rsidP="00E44A2E">
      <w:pPr>
        <w:tabs>
          <w:tab w:val="left" w:pos="6480"/>
        </w:tabs>
        <w:rPr>
          <w:b/>
          <w:u w:val="single"/>
        </w:rPr>
      </w:pPr>
    </w:p>
    <w:p w14:paraId="3E9BE13A" w14:textId="77777777" w:rsidR="00934426" w:rsidRDefault="00934426" w:rsidP="00E44A2E">
      <w:pPr>
        <w:tabs>
          <w:tab w:val="left" w:pos="6480"/>
        </w:tabs>
        <w:rPr>
          <w:b/>
          <w:u w:val="single"/>
        </w:rPr>
      </w:pPr>
    </w:p>
    <w:p w14:paraId="7D1C32A0" w14:textId="77777777" w:rsidR="00934426" w:rsidRDefault="00934426" w:rsidP="00E44A2E">
      <w:pPr>
        <w:tabs>
          <w:tab w:val="left" w:pos="6480"/>
        </w:tabs>
        <w:rPr>
          <w:b/>
          <w:u w:val="single"/>
        </w:rPr>
      </w:pPr>
    </w:p>
    <w:p w14:paraId="3DCF2C0C" w14:textId="77777777" w:rsidR="00940F2A" w:rsidRPr="00744D11" w:rsidRDefault="00940F2A" w:rsidP="00E44A2E">
      <w:pPr>
        <w:tabs>
          <w:tab w:val="left" w:pos="6480"/>
        </w:tabs>
        <w:rPr>
          <w:b/>
          <w:u w:val="single"/>
        </w:rPr>
      </w:pPr>
      <w:r w:rsidRPr="00744D11">
        <w:rPr>
          <w:b/>
          <w:u w:val="single"/>
        </w:rPr>
        <w:lastRenderedPageBreak/>
        <w:t>Equali</w:t>
      </w:r>
      <w:r w:rsidR="00744D11" w:rsidRPr="00744D11">
        <w:rPr>
          <w:b/>
          <w:u w:val="single"/>
        </w:rPr>
        <w:t>ty Statement</w:t>
      </w:r>
    </w:p>
    <w:p w14:paraId="4FD98F04" w14:textId="77777777" w:rsidR="00744D11" w:rsidRPr="00E44A2E" w:rsidRDefault="00110F44" w:rsidP="00744D11">
      <w:r>
        <w:t>As</w:t>
      </w:r>
      <w:r w:rsidR="00661002">
        <w:t xml:space="preserve"> </w:t>
      </w:r>
      <w:r w:rsidR="00744D11" w:rsidRPr="00E44A2E">
        <w:t>CFO is a public sector organisation it has a duty to;</w:t>
      </w:r>
    </w:p>
    <w:p w14:paraId="6850714E" w14:textId="77777777" w:rsidR="00744D11" w:rsidRPr="00E44A2E" w:rsidRDefault="00744D11" w:rsidP="0053772B">
      <w:pPr>
        <w:pStyle w:val="ListParagraph"/>
        <w:numPr>
          <w:ilvl w:val="0"/>
          <w:numId w:val="1"/>
        </w:numPr>
      </w:pPr>
      <w:r w:rsidRPr="00E44A2E">
        <w:t xml:space="preserve">Eliminate discrimination, harassment and victimisation </w:t>
      </w:r>
    </w:p>
    <w:p w14:paraId="7117A9E8" w14:textId="77777777" w:rsidR="00744D11" w:rsidRPr="00E44A2E" w:rsidRDefault="00744D11" w:rsidP="0053772B">
      <w:pPr>
        <w:pStyle w:val="ListParagraph"/>
        <w:numPr>
          <w:ilvl w:val="0"/>
          <w:numId w:val="1"/>
        </w:numPr>
      </w:pPr>
      <w:r w:rsidRPr="00E44A2E">
        <w:t xml:space="preserve">Advance equality of opportunity </w:t>
      </w:r>
    </w:p>
    <w:p w14:paraId="33DE0AB0" w14:textId="77777777" w:rsidR="00744D11" w:rsidRPr="00E44A2E" w:rsidRDefault="00744D11" w:rsidP="0053772B">
      <w:pPr>
        <w:pStyle w:val="ListParagraph"/>
        <w:numPr>
          <w:ilvl w:val="0"/>
          <w:numId w:val="1"/>
        </w:numPr>
      </w:pPr>
      <w:r w:rsidRPr="00E44A2E">
        <w:t>Foster good relations between persons who share a relevant protected characteristic and those who do not share it</w:t>
      </w:r>
    </w:p>
    <w:p w14:paraId="684CE0DF" w14:textId="77777777" w:rsidR="00AD0460" w:rsidRPr="00661002" w:rsidRDefault="00AD0460" w:rsidP="00760B71">
      <w:r w:rsidRPr="00661002">
        <w:t xml:space="preserve">The Public Sector Equality Duty (PSED) is a duty on public bodies and others carrying out public functions. It ensures that public bodies consider the needs of individuals in their day-to-day work – when developing policy, delivering services, and making changes that affect their employees. </w:t>
      </w:r>
    </w:p>
    <w:p w14:paraId="685BAA2B" w14:textId="77777777" w:rsidR="00A903F1" w:rsidRPr="00E44A2E" w:rsidRDefault="00A903F1" w:rsidP="006B1FEA">
      <w:pPr>
        <w:rPr>
          <w:b/>
          <w:u w:val="single"/>
        </w:rPr>
      </w:pPr>
      <w:r w:rsidRPr="00E44A2E">
        <w:rPr>
          <w:b/>
          <w:u w:val="single"/>
        </w:rPr>
        <w:t>Scope</w:t>
      </w:r>
    </w:p>
    <w:p w14:paraId="1F9C27B0" w14:textId="77777777" w:rsidR="00D91056" w:rsidRPr="00E44A2E" w:rsidRDefault="00110F44" w:rsidP="006B1FEA">
      <w:pPr>
        <w:rPr>
          <w:rStyle w:val="Bodytext"/>
          <w:rFonts w:asciiTheme="minorHAnsi" w:hAnsiTheme="minorHAnsi"/>
          <w:color w:val="000000"/>
        </w:rPr>
      </w:pPr>
      <w:r>
        <w:rPr>
          <w:rStyle w:val="Bodytext"/>
          <w:rFonts w:asciiTheme="minorHAnsi" w:hAnsiTheme="minorHAnsi"/>
          <w:color w:val="000000"/>
        </w:rPr>
        <w:t xml:space="preserve">The </w:t>
      </w:r>
      <w:r w:rsidR="00782D6D">
        <w:rPr>
          <w:rStyle w:val="Bodytext"/>
          <w:rFonts w:asciiTheme="minorHAnsi" w:hAnsiTheme="minorHAnsi"/>
          <w:color w:val="000000"/>
        </w:rPr>
        <w:t>CFO Equality and Diversity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 policy applies to prime </w:t>
      </w:r>
      <w:r w:rsidR="00934426">
        <w:rPr>
          <w:rStyle w:val="Bodytext"/>
          <w:rFonts w:asciiTheme="minorHAnsi" w:hAnsiTheme="minorHAnsi"/>
          <w:color w:val="000000"/>
        </w:rPr>
        <w:t>Provider</w:t>
      </w:r>
      <w:r>
        <w:rPr>
          <w:rStyle w:val="Bodytext"/>
          <w:rFonts w:asciiTheme="minorHAnsi" w:hAnsiTheme="minorHAnsi"/>
          <w:color w:val="000000"/>
        </w:rPr>
        <w:t xml:space="preserve">s, sub-contractors and 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CFO </w:t>
      </w:r>
      <w:r w:rsidR="00EC6509">
        <w:rPr>
          <w:rStyle w:val="Bodytext"/>
          <w:rFonts w:asciiTheme="minorHAnsi" w:hAnsiTheme="minorHAnsi"/>
          <w:color w:val="000000"/>
        </w:rPr>
        <w:t>e</w:t>
      </w:r>
      <w:r w:rsidR="0097461E" w:rsidRPr="00E44A2E">
        <w:rPr>
          <w:rStyle w:val="Bodytext"/>
          <w:rFonts w:asciiTheme="minorHAnsi" w:hAnsiTheme="minorHAnsi"/>
          <w:color w:val="000000"/>
        </w:rPr>
        <w:t>mployees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. Equality and Diversity ideals are </w:t>
      </w:r>
      <w:r w:rsidR="00661002">
        <w:rPr>
          <w:rStyle w:val="Bodytext"/>
          <w:rFonts w:asciiTheme="minorHAnsi" w:hAnsiTheme="minorHAnsi"/>
          <w:color w:val="000000"/>
        </w:rPr>
        <w:t>the responsibility of all partners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 and each should demonstrate a continued commitment throughout the CFO3 programme. Participant’s engaging with the CFO</w:t>
      </w:r>
      <w:r w:rsidR="00661002">
        <w:rPr>
          <w:rStyle w:val="Bodytext"/>
          <w:rFonts w:asciiTheme="minorHAnsi" w:hAnsiTheme="minorHAnsi"/>
          <w:color w:val="000000"/>
        </w:rPr>
        <w:t>3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 programme shall be educated on the importance of equality and diversity </w:t>
      </w:r>
      <w:r w:rsidR="00287614">
        <w:rPr>
          <w:rStyle w:val="Bodytext"/>
          <w:rFonts w:asciiTheme="minorHAnsi" w:hAnsiTheme="minorHAnsi"/>
          <w:color w:val="000000"/>
        </w:rPr>
        <w:t xml:space="preserve">and encouraged to </w:t>
      </w:r>
      <w:r w:rsidR="008C4BA0">
        <w:rPr>
          <w:rStyle w:val="Bodytext"/>
          <w:rFonts w:asciiTheme="minorHAnsi" w:hAnsiTheme="minorHAnsi"/>
          <w:color w:val="000000"/>
        </w:rPr>
        <w:t>display positive</w:t>
      </w:r>
      <w:r w:rsidR="00287614">
        <w:rPr>
          <w:rStyle w:val="Bodytext"/>
          <w:rFonts w:asciiTheme="minorHAnsi" w:hAnsiTheme="minorHAnsi"/>
          <w:color w:val="000000"/>
        </w:rPr>
        <w:t xml:space="preserve"> behaviour</w:t>
      </w:r>
      <w:r w:rsidR="00D91056" w:rsidRPr="00E44A2E">
        <w:rPr>
          <w:rStyle w:val="Bodytext"/>
          <w:rFonts w:asciiTheme="minorHAnsi" w:hAnsiTheme="minorHAnsi"/>
          <w:color w:val="000000"/>
        </w:rPr>
        <w:t xml:space="preserve">. </w:t>
      </w:r>
    </w:p>
    <w:p w14:paraId="44AB4C46" w14:textId="77777777" w:rsidR="00617C96" w:rsidRPr="00E44A2E" w:rsidRDefault="00F052C6" w:rsidP="006B1FEA">
      <w:pPr>
        <w:rPr>
          <w:b/>
          <w:u w:val="single"/>
        </w:rPr>
      </w:pPr>
      <w:r w:rsidRPr="00E44A2E">
        <w:rPr>
          <w:b/>
          <w:u w:val="single"/>
        </w:rPr>
        <w:t>Legislation</w:t>
      </w:r>
    </w:p>
    <w:p w14:paraId="7A9A0240" w14:textId="77777777" w:rsidR="006B1FEA" w:rsidRPr="00E44A2E" w:rsidRDefault="00661002" w:rsidP="006B1FEA">
      <w:pPr>
        <w:rPr>
          <w:b/>
          <w:u w:val="single"/>
        </w:rPr>
      </w:pPr>
      <w:r>
        <w:t xml:space="preserve"> </w:t>
      </w:r>
      <w:r w:rsidR="00617C96" w:rsidRPr="00E44A2E">
        <w:t xml:space="preserve">CFO strive to adhere to </w:t>
      </w:r>
      <w:r w:rsidR="001B6E57">
        <w:t xml:space="preserve">all relevant UK legislation, </w:t>
      </w:r>
      <w:r w:rsidR="00617C96" w:rsidRPr="00E44A2E">
        <w:t>this policy is derived from the principles within the following documents:</w:t>
      </w:r>
      <w:r w:rsidR="00F052C6" w:rsidRPr="00E44A2E">
        <w:rPr>
          <w:b/>
          <w:u w:val="single"/>
        </w:rPr>
        <w:t xml:space="preserve"> </w:t>
      </w:r>
    </w:p>
    <w:p w14:paraId="015555E1" w14:textId="77777777" w:rsidR="00F052C6" w:rsidRPr="00E44A2E" w:rsidRDefault="00F052C6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 w:rsidRPr="00E44A2E">
        <w:rPr>
          <w:rStyle w:val="Bodytext"/>
          <w:rFonts w:asciiTheme="minorHAnsi" w:hAnsiTheme="minorHAnsi"/>
          <w:color w:val="000000"/>
        </w:rPr>
        <w:t>The Equality Act 2010</w:t>
      </w:r>
    </w:p>
    <w:p w14:paraId="41CC3955" w14:textId="77777777" w:rsidR="00617C96" w:rsidRPr="00E44A2E" w:rsidRDefault="00617C96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 w:rsidRPr="00E44A2E">
        <w:rPr>
          <w:rStyle w:val="Bodytext"/>
          <w:rFonts w:asciiTheme="minorHAnsi" w:hAnsiTheme="minorHAnsi"/>
          <w:color w:val="000000"/>
        </w:rPr>
        <w:t>Rehabilitation of Offenders Act 1974</w:t>
      </w:r>
    </w:p>
    <w:p w14:paraId="52C04C3E" w14:textId="77777777" w:rsidR="00F052C6" w:rsidRPr="00E44A2E" w:rsidRDefault="00F052C6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 w:rsidRPr="00E44A2E">
        <w:rPr>
          <w:rStyle w:val="Bodytext"/>
          <w:rFonts w:asciiTheme="minorHAnsi" w:hAnsiTheme="minorHAnsi"/>
          <w:color w:val="000000"/>
        </w:rPr>
        <w:t>The Human Rights Act 1998</w:t>
      </w:r>
    </w:p>
    <w:p w14:paraId="3639CE13" w14:textId="77777777" w:rsidR="00617C96" w:rsidRDefault="00617C96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 w:rsidRPr="00E44A2E">
        <w:rPr>
          <w:rStyle w:val="Bodytext"/>
          <w:rFonts w:asciiTheme="minorHAnsi" w:hAnsiTheme="minorHAnsi"/>
          <w:color w:val="000000"/>
        </w:rPr>
        <w:t>Codes of practice issued by Equality &amp; Human Rights Commission</w:t>
      </w:r>
    </w:p>
    <w:p w14:paraId="62A389CA" w14:textId="77777777" w:rsidR="00184139" w:rsidRDefault="00184139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>
        <w:rPr>
          <w:rStyle w:val="Bodytext"/>
          <w:rFonts w:asciiTheme="minorHAnsi" w:hAnsiTheme="minorHAnsi"/>
          <w:color w:val="000000"/>
        </w:rPr>
        <w:t>The MOJ Inclusion Diversity Strategy 2017-2020</w:t>
      </w:r>
    </w:p>
    <w:p w14:paraId="36E9F0E3" w14:textId="77777777" w:rsidR="00184139" w:rsidRPr="00E44A2E" w:rsidRDefault="00184139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Style w:val="Bodytext"/>
          <w:rFonts w:asciiTheme="minorHAnsi" w:hAnsiTheme="minorHAnsi"/>
          <w:color w:val="000000"/>
        </w:rPr>
      </w:pPr>
      <w:r>
        <w:rPr>
          <w:rStyle w:val="Bodytext"/>
          <w:rFonts w:asciiTheme="minorHAnsi" w:hAnsiTheme="minorHAnsi"/>
          <w:color w:val="000000"/>
        </w:rPr>
        <w:t>Civil Service Equality &amp; Diversity Policy 2017</w:t>
      </w:r>
    </w:p>
    <w:p w14:paraId="47CAFA86" w14:textId="449F3FC7" w:rsidR="00744D11" w:rsidRPr="00367B5C" w:rsidRDefault="0061049B" w:rsidP="0053772B">
      <w:pPr>
        <w:pStyle w:val="BodyText1"/>
        <w:numPr>
          <w:ilvl w:val="0"/>
          <w:numId w:val="2"/>
        </w:numPr>
        <w:shd w:val="clear" w:color="auto" w:fill="auto"/>
        <w:spacing w:before="0" w:after="0" w:line="562" w:lineRule="exact"/>
        <w:jc w:val="left"/>
        <w:rPr>
          <w:rFonts w:asciiTheme="minorHAnsi" w:hAnsiTheme="minorHAnsi"/>
          <w:color w:val="000000" w:themeColor="text1"/>
          <w:shd w:val="clear" w:color="auto" w:fill="FFFFFF"/>
        </w:rPr>
      </w:pPr>
      <w:r w:rsidRPr="00367B5C">
        <w:rPr>
          <w:rStyle w:val="Bodytext"/>
          <w:rFonts w:asciiTheme="minorHAnsi" w:hAnsiTheme="minorHAnsi"/>
          <w:color w:val="000000" w:themeColor="text1"/>
        </w:rPr>
        <w:t>HMPPS</w:t>
      </w:r>
      <w:r w:rsidR="00D91056" w:rsidRPr="00367B5C">
        <w:rPr>
          <w:rStyle w:val="Bodytext"/>
          <w:rFonts w:asciiTheme="minorHAnsi" w:hAnsiTheme="minorHAnsi"/>
          <w:color w:val="000000" w:themeColor="text1"/>
        </w:rPr>
        <w:t xml:space="preserve">: Equality Strategy </w:t>
      </w:r>
      <w:r w:rsidRPr="00367B5C">
        <w:rPr>
          <w:rStyle w:val="Bodytext"/>
          <w:rFonts w:asciiTheme="minorHAnsi" w:hAnsiTheme="minorHAnsi"/>
          <w:color w:val="000000" w:themeColor="text1"/>
        </w:rPr>
        <w:t>2018-2020</w:t>
      </w:r>
    </w:p>
    <w:p w14:paraId="5ABE44F6" w14:textId="6E7220E8" w:rsidR="00F052C6" w:rsidRPr="00696FF8" w:rsidRDefault="00F052C6" w:rsidP="00696FF8">
      <w:pPr>
        <w:pStyle w:val="BodyText1"/>
        <w:shd w:val="clear" w:color="auto" w:fill="auto"/>
        <w:spacing w:before="0" w:after="0" w:line="562" w:lineRule="exact"/>
        <w:ind w:firstLine="0"/>
        <w:jc w:val="left"/>
        <w:rPr>
          <w:rFonts w:cs="Arial"/>
          <w:b/>
          <w:i/>
          <w:sz w:val="20"/>
          <w:szCs w:val="20"/>
        </w:rPr>
      </w:pPr>
      <w:r w:rsidRPr="00696FF8">
        <w:rPr>
          <w:rFonts w:cs="Arial"/>
          <w:b/>
          <w:sz w:val="20"/>
          <w:szCs w:val="20"/>
          <w:u w:val="single"/>
        </w:rPr>
        <w:lastRenderedPageBreak/>
        <w:t>Roles &amp; Responsibilities</w:t>
      </w:r>
      <w:r w:rsidR="00696FF8" w:rsidRPr="00DF4899">
        <w:rPr>
          <w:rFonts w:cs="Arial"/>
          <w:b/>
          <w:sz w:val="20"/>
          <w:szCs w:val="20"/>
        </w:rPr>
        <w:t xml:space="preserve"> - </w:t>
      </w:r>
      <w:r w:rsidRPr="00696FF8">
        <w:rPr>
          <w:rFonts w:cs="Arial"/>
          <w:b/>
          <w:i/>
          <w:sz w:val="20"/>
          <w:szCs w:val="20"/>
        </w:rPr>
        <w:t>CFO as a Managing Authority</w:t>
      </w:r>
    </w:p>
    <w:p w14:paraId="50687BFD" w14:textId="77777777" w:rsidR="00617C96" w:rsidRPr="00E44A2E" w:rsidRDefault="00110F44" w:rsidP="00394DD3">
      <w:pPr>
        <w:rPr>
          <w:bCs/>
          <w:iCs/>
        </w:rPr>
      </w:pPr>
      <w:r>
        <w:rPr>
          <w:bCs/>
          <w:iCs/>
        </w:rPr>
        <w:t>Equality for</w:t>
      </w:r>
      <w:r w:rsidR="00661002">
        <w:rPr>
          <w:bCs/>
          <w:iCs/>
        </w:rPr>
        <w:t xml:space="preserve"> </w:t>
      </w:r>
      <w:r w:rsidR="00394DD3" w:rsidRPr="00E44A2E">
        <w:rPr>
          <w:bCs/>
          <w:iCs/>
        </w:rPr>
        <w:t xml:space="preserve">CFO </w:t>
      </w:r>
      <w:r w:rsidR="00934426">
        <w:rPr>
          <w:bCs/>
          <w:iCs/>
        </w:rPr>
        <w:t>Provider</w:t>
      </w:r>
      <w:r w:rsidR="005B5C76" w:rsidRPr="00E44A2E">
        <w:rPr>
          <w:bCs/>
          <w:iCs/>
        </w:rPr>
        <w:t>s</w:t>
      </w:r>
      <w:r w:rsidR="00394DD3" w:rsidRPr="00E44A2E">
        <w:rPr>
          <w:bCs/>
          <w:iCs/>
        </w:rPr>
        <w:t xml:space="preserve"> will include:</w:t>
      </w:r>
    </w:p>
    <w:p w14:paraId="536984F5" w14:textId="77777777" w:rsidR="00CD4767" w:rsidRPr="00DF4899" w:rsidRDefault="00CD4767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 xml:space="preserve">The CFO3 contracts include a clause </w:t>
      </w:r>
      <w:r w:rsidR="008C4BA0" w:rsidRPr="00DF4899">
        <w:rPr>
          <w:bCs/>
          <w:iCs/>
          <w:color w:val="000000" w:themeColor="text1"/>
        </w:rPr>
        <w:t xml:space="preserve">(15.1) stating </w:t>
      </w:r>
      <w:r w:rsidR="007F5CD5" w:rsidRPr="00DF4899">
        <w:rPr>
          <w:bCs/>
          <w:iCs/>
          <w:color w:val="000000" w:themeColor="text1"/>
        </w:rPr>
        <w:t>‘</w:t>
      </w:r>
      <w:r w:rsidR="008C4BA0" w:rsidRPr="00DF4899">
        <w:rPr>
          <w:bCs/>
          <w:iCs/>
          <w:color w:val="000000" w:themeColor="text1"/>
        </w:rPr>
        <w:t xml:space="preserve">each prime </w:t>
      </w:r>
      <w:r w:rsidR="00934426" w:rsidRPr="00DF4899">
        <w:rPr>
          <w:bCs/>
          <w:iCs/>
          <w:color w:val="000000" w:themeColor="text1"/>
        </w:rPr>
        <w:t>Provider</w:t>
      </w:r>
      <w:r w:rsidR="008C4BA0" w:rsidRPr="00DF4899">
        <w:rPr>
          <w:bCs/>
          <w:iCs/>
          <w:color w:val="000000" w:themeColor="text1"/>
        </w:rPr>
        <w:t xml:space="preserve"> will</w:t>
      </w:r>
      <w:r w:rsidRPr="00DF4899">
        <w:rPr>
          <w:bCs/>
          <w:iCs/>
          <w:color w:val="000000" w:themeColor="text1"/>
        </w:rPr>
        <w:t xml:space="preserve"> comply with the Equality Act </w:t>
      </w:r>
      <w:r w:rsidR="00D73992" w:rsidRPr="00DF4899">
        <w:rPr>
          <w:bCs/>
          <w:iCs/>
          <w:color w:val="000000" w:themeColor="text1"/>
        </w:rPr>
        <w:t>(</w:t>
      </w:r>
      <w:r w:rsidRPr="00DF4899">
        <w:rPr>
          <w:bCs/>
          <w:iCs/>
          <w:color w:val="000000" w:themeColor="text1"/>
        </w:rPr>
        <w:t>2010</w:t>
      </w:r>
      <w:r w:rsidR="00D73992" w:rsidRPr="00DF4899">
        <w:rPr>
          <w:bCs/>
          <w:iCs/>
          <w:color w:val="000000" w:themeColor="text1"/>
        </w:rPr>
        <w:t>)</w:t>
      </w:r>
      <w:r w:rsidR="007F5CD5" w:rsidRPr="00DF4899">
        <w:rPr>
          <w:bCs/>
          <w:iCs/>
          <w:color w:val="000000" w:themeColor="text1"/>
        </w:rPr>
        <w:t>’</w:t>
      </w:r>
      <w:r w:rsidR="00287614" w:rsidRPr="00DF4899">
        <w:rPr>
          <w:bCs/>
          <w:iCs/>
          <w:color w:val="000000" w:themeColor="text1"/>
        </w:rPr>
        <w:t xml:space="preserve">, </w:t>
      </w:r>
      <w:r w:rsidR="00934426" w:rsidRPr="00DF4899">
        <w:rPr>
          <w:bCs/>
          <w:iCs/>
          <w:color w:val="000000" w:themeColor="text1"/>
        </w:rPr>
        <w:t>Provider</w:t>
      </w:r>
      <w:r w:rsidR="00287614" w:rsidRPr="00DF4899">
        <w:rPr>
          <w:bCs/>
          <w:iCs/>
          <w:color w:val="000000" w:themeColor="text1"/>
        </w:rPr>
        <w:t>s will be required to evidence Equality Policies and demonstr</w:t>
      </w:r>
      <w:r w:rsidR="00CA483F" w:rsidRPr="00DF4899">
        <w:rPr>
          <w:bCs/>
          <w:iCs/>
          <w:color w:val="000000" w:themeColor="text1"/>
        </w:rPr>
        <w:t xml:space="preserve">ate an ongoing commitment to Equality throughout the CFO programme. </w:t>
      </w:r>
      <w:r w:rsidR="00287614" w:rsidRPr="00DF4899">
        <w:rPr>
          <w:bCs/>
          <w:iCs/>
          <w:color w:val="000000" w:themeColor="text1"/>
        </w:rPr>
        <w:t xml:space="preserve"> </w:t>
      </w:r>
      <w:r w:rsidR="0041696A" w:rsidRPr="00DF4899">
        <w:rPr>
          <w:bCs/>
          <w:iCs/>
          <w:color w:val="000000" w:themeColor="text1"/>
        </w:rPr>
        <w:t xml:space="preserve">Providers will also be expected to contribute to the HMPPS CFO Implementation plan to evidence how each aspect will be put into practice. </w:t>
      </w:r>
    </w:p>
    <w:p w14:paraId="121E8200" w14:textId="77777777" w:rsidR="00F97808" w:rsidRPr="00DF4899" w:rsidRDefault="00287614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It is referenced in S</w:t>
      </w:r>
      <w:r w:rsidR="00F97808" w:rsidRPr="00DF4899">
        <w:rPr>
          <w:bCs/>
          <w:iCs/>
          <w:color w:val="000000" w:themeColor="text1"/>
        </w:rPr>
        <w:t xml:space="preserve">chedule G </w:t>
      </w:r>
      <w:r w:rsidR="00437054" w:rsidRPr="00DF4899">
        <w:rPr>
          <w:bCs/>
          <w:iCs/>
          <w:color w:val="000000" w:themeColor="text1"/>
        </w:rPr>
        <w:t>(within the contract</w:t>
      </w:r>
      <w:r w:rsidR="008C4BA0" w:rsidRPr="00DF4899">
        <w:rPr>
          <w:bCs/>
          <w:iCs/>
          <w:color w:val="000000" w:themeColor="text1"/>
        </w:rPr>
        <w:t xml:space="preserve">) </w:t>
      </w:r>
      <w:r w:rsidR="00F97808" w:rsidRPr="00DF4899">
        <w:rPr>
          <w:bCs/>
          <w:iCs/>
          <w:color w:val="000000" w:themeColor="text1"/>
        </w:rPr>
        <w:t xml:space="preserve">the importance of the Equality Act </w:t>
      </w:r>
      <w:r w:rsidR="00CA483F" w:rsidRPr="00DF4899">
        <w:rPr>
          <w:bCs/>
          <w:iCs/>
          <w:color w:val="000000" w:themeColor="text1"/>
        </w:rPr>
        <w:t>(</w:t>
      </w:r>
      <w:r w:rsidR="00F97808" w:rsidRPr="00DF4899">
        <w:rPr>
          <w:bCs/>
          <w:iCs/>
          <w:color w:val="000000" w:themeColor="text1"/>
        </w:rPr>
        <w:t>2010</w:t>
      </w:r>
      <w:r w:rsidR="00CA483F" w:rsidRPr="00DF4899">
        <w:rPr>
          <w:bCs/>
          <w:iCs/>
          <w:color w:val="000000" w:themeColor="text1"/>
        </w:rPr>
        <w:t>)</w:t>
      </w:r>
      <w:r w:rsidR="00F97808" w:rsidRPr="00DF4899">
        <w:rPr>
          <w:bCs/>
          <w:iCs/>
          <w:color w:val="000000" w:themeColor="text1"/>
        </w:rPr>
        <w:t xml:space="preserve"> and how ‘The </w:t>
      </w:r>
      <w:r w:rsidR="00934426" w:rsidRPr="00DF4899">
        <w:rPr>
          <w:bCs/>
          <w:iCs/>
          <w:color w:val="000000" w:themeColor="text1"/>
        </w:rPr>
        <w:t>Provider</w:t>
      </w:r>
      <w:r w:rsidR="00F97808" w:rsidRPr="00DF4899">
        <w:rPr>
          <w:bCs/>
          <w:iCs/>
          <w:color w:val="000000" w:themeColor="text1"/>
        </w:rPr>
        <w:t xml:space="preserve"> shall be expected to deliver services that are sensitive to the specific requirements of each of the above groups</w:t>
      </w:r>
      <w:r w:rsidR="008C4BA0" w:rsidRPr="00DF4899">
        <w:rPr>
          <w:bCs/>
          <w:iCs/>
          <w:color w:val="000000" w:themeColor="text1"/>
        </w:rPr>
        <w:t xml:space="preserve"> </w:t>
      </w:r>
      <w:r w:rsidR="00F97808" w:rsidRPr="00DF4899">
        <w:rPr>
          <w:bCs/>
          <w:iCs/>
          <w:color w:val="000000" w:themeColor="text1"/>
        </w:rPr>
        <w:t>(BAME, older prisoners, women, etc.)</w:t>
      </w:r>
      <w:r w:rsidR="007F5CD5" w:rsidRPr="00DF4899">
        <w:rPr>
          <w:bCs/>
          <w:iCs/>
          <w:color w:val="000000" w:themeColor="text1"/>
        </w:rPr>
        <w:t>’</w:t>
      </w:r>
      <w:r w:rsidRPr="00DF4899">
        <w:rPr>
          <w:bCs/>
          <w:iCs/>
          <w:color w:val="000000" w:themeColor="text1"/>
        </w:rPr>
        <w:t xml:space="preserve">. Prime </w:t>
      </w:r>
      <w:r w:rsidR="00934426" w:rsidRPr="00DF4899">
        <w:rPr>
          <w:bCs/>
          <w:iCs/>
          <w:color w:val="000000" w:themeColor="text1"/>
        </w:rPr>
        <w:t>Provider</w:t>
      </w:r>
      <w:r w:rsidRPr="00DF4899">
        <w:rPr>
          <w:bCs/>
          <w:iCs/>
          <w:color w:val="000000" w:themeColor="text1"/>
        </w:rPr>
        <w:t>s will be required to evidence how the organisation addresses pro</w:t>
      </w:r>
      <w:r w:rsidR="00437054" w:rsidRPr="00DF4899">
        <w:rPr>
          <w:bCs/>
          <w:iCs/>
          <w:color w:val="000000" w:themeColor="text1"/>
        </w:rPr>
        <w:t>tected characteristics and strive</w:t>
      </w:r>
      <w:r w:rsidRPr="00DF4899">
        <w:rPr>
          <w:bCs/>
          <w:iCs/>
          <w:color w:val="000000" w:themeColor="text1"/>
        </w:rPr>
        <w:t xml:space="preserve"> to ensure equality is implemented through</w:t>
      </w:r>
      <w:r w:rsidR="00437054" w:rsidRPr="00DF4899">
        <w:rPr>
          <w:bCs/>
          <w:iCs/>
          <w:color w:val="000000" w:themeColor="text1"/>
        </w:rPr>
        <w:t>out</w:t>
      </w:r>
      <w:r w:rsidRPr="00DF4899">
        <w:rPr>
          <w:bCs/>
          <w:iCs/>
          <w:color w:val="000000" w:themeColor="text1"/>
        </w:rPr>
        <w:t xml:space="preserve"> project delivery. </w:t>
      </w:r>
    </w:p>
    <w:p w14:paraId="376DE90E" w14:textId="77777777" w:rsidR="00940F2A" w:rsidRPr="00DF4899" w:rsidRDefault="00110F44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The</w:t>
      </w:r>
      <w:r w:rsidR="00661002" w:rsidRPr="00DF4899">
        <w:rPr>
          <w:bCs/>
          <w:iCs/>
          <w:color w:val="000000" w:themeColor="text1"/>
        </w:rPr>
        <w:t xml:space="preserve"> </w:t>
      </w:r>
      <w:r w:rsidR="00940F2A" w:rsidRPr="00DF4899">
        <w:rPr>
          <w:bCs/>
          <w:iCs/>
          <w:color w:val="000000" w:themeColor="text1"/>
        </w:rPr>
        <w:t>CFO Engagement Manager</w:t>
      </w:r>
      <w:r w:rsidR="00CA483F" w:rsidRPr="00DF4899">
        <w:rPr>
          <w:bCs/>
          <w:iCs/>
          <w:color w:val="000000" w:themeColor="text1"/>
        </w:rPr>
        <w:t xml:space="preserve"> will </w:t>
      </w:r>
      <w:r w:rsidR="00940F2A" w:rsidRPr="00DF4899">
        <w:rPr>
          <w:bCs/>
          <w:iCs/>
          <w:color w:val="000000" w:themeColor="text1"/>
        </w:rPr>
        <w:t>r</w:t>
      </w:r>
      <w:r w:rsidR="00E44A2E" w:rsidRPr="00DF4899">
        <w:rPr>
          <w:bCs/>
          <w:iCs/>
          <w:color w:val="000000" w:themeColor="text1"/>
        </w:rPr>
        <w:t>equest annual policy updates to</w:t>
      </w:r>
      <w:r w:rsidR="00940F2A" w:rsidRPr="00DF4899">
        <w:rPr>
          <w:bCs/>
          <w:iCs/>
          <w:color w:val="000000" w:themeColor="text1"/>
        </w:rPr>
        <w:t xml:space="preserve"> reflect any changes</w:t>
      </w:r>
      <w:r w:rsidR="00E44A2E" w:rsidRPr="00DF4899">
        <w:rPr>
          <w:bCs/>
          <w:iCs/>
          <w:color w:val="000000" w:themeColor="text1"/>
        </w:rPr>
        <w:t>/development</w:t>
      </w:r>
      <w:r w:rsidR="00940F2A" w:rsidRPr="00DF4899">
        <w:rPr>
          <w:bCs/>
          <w:iCs/>
          <w:color w:val="000000" w:themeColor="text1"/>
        </w:rPr>
        <w:t xml:space="preserve"> within the </w:t>
      </w:r>
      <w:r w:rsidR="00661002" w:rsidRPr="00DF4899">
        <w:rPr>
          <w:bCs/>
          <w:iCs/>
          <w:color w:val="000000" w:themeColor="text1"/>
        </w:rPr>
        <w:t xml:space="preserve">prime </w:t>
      </w:r>
      <w:r w:rsidR="00940F2A" w:rsidRPr="00DF4899">
        <w:rPr>
          <w:bCs/>
          <w:iCs/>
          <w:color w:val="000000" w:themeColor="text1"/>
        </w:rPr>
        <w:t>organisation</w:t>
      </w:r>
      <w:r w:rsidR="00661002" w:rsidRPr="00DF4899">
        <w:rPr>
          <w:bCs/>
          <w:iCs/>
          <w:color w:val="000000" w:themeColor="text1"/>
        </w:rPr>
        <w:t>s</w:t>
      </w:r>
      <w:r w:rsidR="00E44A2E" w:rsidRPr="00DF4899">
        <w:rPr>
          <w:bCs/>
          <w:iCs/>
          <w:color w:val="000000" w:themeColor="text1"/>
        </w:rPr>
        <w:t>.</w:t>
      </w:r>
    </w:p>
    <w:p w14:paraId="0E929AA0" w14:textId="77777777" w:rsidR="00184139" w:rsidRPr="00DF4899" w:rsidRDefault="00934426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661002" w:rsidRPr="00DF4899">
        <w:rPr>
          <w:bCs/>
          <w:iCs/>
          <w:color w:val="000000" w:themeColor="text1"/>
        </w:rPr>
        <w:t>s shall be expected to e</w:t>
      </w:r>
      <w:r w:rsidR="007F5CD5" w:rsidRPr="00DF4899">
        <w:rPr>
          <w:bCs/>
          <w:iCs/>
          <w:color w:val="000000" w:themeColor="text1"/>
        </w:rPr>
        <w:t>vidence how internal staff are trained to understand and implement equality and diversity within working practices and behaviour</w:t>
      </w:r>
      <w:r w:rsidR="00242667" w:rsidRPr="00DF4899">
        <w:rPr>
          <w:bCs/>
          <w:iCs/>
          <w:color w:val="000000" w:themeColor="text1"/>
        </w:rPr>
        <w:t>s</w:t>
      </w:r>
      <w:r w:rsidR="007F5CD5" w:rsidRPr="00DF4899">
        <w:rPr>
          <w:bCs/>
          <w:iCs/>
          <w:color w:val="000000" w:themeColor="text1"/>
        </w:rPr>
        <w:t xml:space="preserve">. </w:t>
      </w:r>
    </w:p>
    <w:p w14:paraId="2942AC1E" w14:textId="77777777" w:rsidR="007F5CD5" w:rsidRPr="00DF4899" w:rsidRDefault="00184139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 xml:space="preserve">Providers will be expected to evidence a commitment to anti-bullying and anti-harassment campaigns for internal staff. </w:t>
      </w:r>
    </w:p>
    <w:p w14:paraId="7DD1B304" w14:textId="77777777" w:rsidR="008D391B" w:rsidRPr="00DF4899" w:rsidRDefault="00934426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D73992" w:rsidRPr="00DF4899">
        <w:rPr>
          <w:bCs/>
          <w:iCs/>
          <w:color w:val="000000" w:themeColor="text1"/>
        </w:rPr>
        <w:t>s will</w:t>
      </w:r>
      <w:r w:rsidR="008D391B" w:rsidRPr="00DF4899">
        <w:rPr>
          <w:bCs/>
          <w:iCs/>
          <w:color w:val="000000" w:themeColor="text1"/>
        </w:rPr>
        <w:t xml:space="preserve"> hold </w:t>
      </w:r>
      <w:r w:rsidR="00D73992" w:rsidRPr="00DF4899">
        <w:rPr>
          <w:bCs/>
          <w:iCs/>
          <w:color w:val="000000" w:themeColor="text1"/>
        </w:rPr>
        <w:t>central copies of all Sub-Contractors e</w:t>
      </w:r>
      <w:r w:rsidR="008D391B" w:rsidRPr="00DF4899">
        <w:rPr>
          <w:bCs/>
          <w:iCs/>
          <w:color w:val="000000" w:themeColor="text1"/>
        </w:rPr>
        <w:t>quality pol</w:t>
      </w:r>
      <w:r w:rsidR="00184139" w:rsidRPr="00DF4899">
        <w:rPr>
          <w:bCs/>
          <w:iCs/>
          <w:color w:val="000000" w:themeColor="text1"/>
        </w:rPr>
        <w:t xml:space="preserve">icies and produce upon request (Sub-Contractor matrix attached to policy). </w:t>
      </w:r>
    </w:p>
    <w:p w14:paraId="70CDA287" w14:textId="77777777" w:rsidR="00DA4BB9" w:rsidRPr="00DF4899" w:rsidRDefault="00110F44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Monthly</w:t>
      </w:r>
      <w:r w:rsidR="00661002" w:rsidRPr="00DF4899">
        <w:rPr>
          <w:bCs/>
          <w:iCs/>
          <w:color w:val="000000" w:themeColor="text1"/>
        </w:rPr>
        <w:t xml:space="preserve"> </w:t>
      </w:r>
      <w:r w:rsidR="00517BB0" w:rsidRPr="00DF4899">
        <w:rPr>
          <w:bCs/>
          <w:iCs/>
          <w:color w:val="000000" w:themeColor="text1"/>
        </w:rPr>
        <w:t xml:space="preserve">CFO </w:t>
      </w:r>
      <w:r w:rsidR="00934426" w:rsidRPr="00DF4899">
        <w:rPr>
          <w:bCs/>
          <w:iCs/>
          <w:color w:val="000000" w:themeColor="text1"/>
        </w:rPr>
        <w:t>Provider</w:t>
      </w:r>
      <w:r w:rsidR="00DA4BB9" w:rsidRPr="00DF4899">
        <w:rPr>
          <w:bCs/>
          <w:iCs/>
          <w:color w:val="000000" w:themeColor="text1"/>
        </w:rPr>
        <w:t xml:space="preserve"> statistics will monitor how many participants engaged with the programme and whether </w:t>
      </w:r>
      <w:r w:rsidR="00934426" w:rsidRPr="00DF4899">
        <w:rPr>
          <w:bCs/>
          <w:iCs/>
          <w:color w:val="000000" w:themeColor="text1"/>
        </w:rPr>
        <w:t>Provider</w:t>
      </w:r>
      <w:r w:rsidR="00DA4BB9" w:rsidRPr="00DF4899">
        <w:rPr>
          <w:bCs/>
          <w:iCs/>
          <w:color w:val="000000" w:themeColor="text1"/>
        </w:rPr>
        <w:t>s achieved targets</w:t>
      </w:r>
      <w:r w:rsidR="00B95AAD" w:rsidRPr="00DF4899">
        <w:rPr>
          <w:bCs/>
          <w:iCs/>
          <w:color w:val="000000" w:themeColor="text1"/>
        </w:rPr>
        <w:t xml:space="preserve"> for the hard-to-help group</w:t>
      </w:r>
      <w:r w:rsidR="00CA483F" w:rsidRPr="00DF4899">
        <w:rPr>
          <w:bCs/>
          <w:iCs/>
          <w:color w:val="000000" w:themeColor="text1"/>
        </w:rPr>
        <w:t>s</w:t>
      </w:r>
      <w:r w:rsidR="00437054" w:rsidRPr="00DF4899">
        <w:rPr>
          <w:bCs/>
          <w:iCs/>
          <w:color w:val="000000" w:themeColor="text1"/>
        </w:rPr>
        <w:t>,</w:t>
      </w:r>
      <w:r w:rsidR="00242667" w:rsidRPr="00DF4899">
        <w:rPr>
          <w:bCs/>
          <w:iCs/>
          <w:color w:val="000000" w:themeColor="text1"/>
        </w:rPr>
        <w:t xml:space="preserve"> which reflect protected characteristics</w:t>
      </w:r>
      <w:r w:rsidR="00DA4BB9" w:rsidRPr="00DF4899">
        <w:rPr>
          <w:bCs/>
          <w:iCs/>
          <w:color w:val="000000" w:themeColor="text1"/>
        </w:rPr>
        <w:t xml:space="preserve"> (men, women, disabled, age category etc.)</w:t>
      </w:r>
      <w:r w:rsidR="00242667" w:rsidRPr="00DF4899">
        <w:rPr>
          <w:bCs/>
          <w:iCs/>
          <w:color w:val="000000" w:themeColor="text1"/>
        </w:rPr>
        <w:t xml:space="preserve">. </w:t>
      </w:r>
      <w:r w:rsidR="00517BB0" w:rsidRPr="00DF4899">
        <w:rPr>
          <w:bCs/>
          <w:iCs/>
          <w:color w:val="000000" w:themeColor="text1"/>
        </w:rPr>
        <w:t xml:space="preserve">Prime </w:t>
      </w:r>
      <w:r w:rsidR="00934426" w:rsidRPr="00DF4899">
        <w:rPr>
          <w:bCs/>
          <w:iCs/>
          <w:color w:val="000000" w:themeColor="text1"/>
        </w:rPr>
        <w:t>Provider</w:t>
      </w:r>
      <w:r w:rsidR="00517BB0" w:rsidRPr="00DF4899">
        <w:rPr>
          <w:bCs/>
          <w:iCs/>
          <w:color w:val="000000" w:themeColor="text1"/>
        </w:rPr>
        <w:t xml:space="preserve">s are expected to </w:t>
      </w:r>
      <w:r w:rsidR="00851CBD" w:rsidRPr="00DF4899">
        <w:rPr>
          <w:bCs/>
          <w:iCs/>
          <w:color w:val="000000" w:themeColor="text1"/>
        </w:rPr>
        <w:t xml:space="preserve">meet monthly CFO targets &amp; </w:t>
      </w:r>
      <w:r w:rsidR="0041696A" w:rsidRPr="00DF4899">
        <w:rPr>
          <w:bCs/>
          <w:iCs/>
          <w:color w:val="000000" w:themeColor="text1"/>
        </w:rPr>
        <w:t xml:space="preserve">the CFO </w:t>
      </w:r>
      <w:r w:rsidR="00184139" w:rsidRPr="00DF4899">
        <w:rPr>
          <w:bCs/>
          <w:iCs/>
          <w:color w:val="000000" w:themeColor="text1"/>
        </w:rPr>
        <w:t xml:space="preserve">will </w:t>
      </w:r>
      <w:r w:rsidR="00517BB0" w:rsidRPr="00DF4899">
        <w:rPr>
          <w:bCs/>
          <w:iCs/>
          <w:color w:val="000000" w:themeColor="text1"/>
        </w:rPr>
        <w:t>address any under performance and under-representation</w:t>
      </w:r>
      <w:r w:rsidR="00242667" w:rsidRPr="00DF4899">
        <w:rPr>
          <w:bCs/>
          <w:iCs/>
          <w:color w:val="000000" w:themeColor="text1"/>
        </w:rPr>
        <w:t xml:space="preserve"> of protected characteristics</w:t>
      </w:r>
      <w:r w:rsidR="00517BB0" w:rsidRPr="00DF4899">
        <w:rPr>
          <w:bCs/>
          <w:iCs/>
          <w:color w:val="000000" w:themeColor="text1"/>
        </w:rPr>
        <w:t xml:space="preserve">. </w:t>
      </w:r>
    </w:p>
    <w:p w14:paraId="1BE0FB79" w14:textId="77777777" w:rsidR="008C4BA0" w:rsidRPr="00DF4899" w:rsidRDefault="007F5CD5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 xml:space="preserve">All </w:t>
      </w:r>
      <w:r w:rsidR="00934426" w:rsidRPr="00DF4899">
        <w:rPr>
          <w:bCs/>
          <w:iCs/>
          <w:color w:val="000000" w:themeColor="text1"/>
        </w:rPr>
        <w:t>Provider</w:t>
      </w:r>
      <w:r w:rsidRPr="00DF4899">
        <w:rPr>
          <w:bCs/>
          <w:iCs/>
          <w:color w:val="000000" w:themeColor="text1"/>
        </w:rPr>
        <w:t>s shall m</w:t>
      </w:r>
      <w:r w:rsidR="008C4BA0" w:rsidRPr="00DF4899">
        <w:rPr>
          <w:bCs/>
          <w:iCs/>
          <w:color w:val="000000" w:themeColor="text1"/>
        </w:rPr>
        <w:t xml:space="preserve">onitor </w:t>
      </w:r>
      <w:r w:rsidR="00517BB0" w:rsidRPr="00DF4899">
        <w:rPr>
          <w:bCs/>
          <w:iCs/>
          <w:color w:val="000000" w:themeColor="text1"/>
        </w:rPr>
        <w:t xml:space="preserve">internal </w:t>
      </w:r>
      <w:r w:rsidR="008C4BA0" w:rsidRPr="00DF4899">
        <w:rPr>
          <w:bCs/>
          <w:iCs/>
          <w:color w:val="000000" w:themeColor="text1"/>
        </w:rPr>
        <w:t>staff characteristics and address under representation</w:t>
      </w:r>
      <w:r w:rsidR="00242667" w:rsidRPr="00DF4899">
        <w:rPr>
          <w:bCs/>
          <w:iCs/>
          <w:color w:val="000000" w:themeColor="text1"/>
        </w:rPr>
        <w:t xml:space="preserve"> of protected characteristics</w:t>
      </w:r>
      <w:r w:rsidRPr="00DF4899">
        <w:rPr>
          <w:bCs/>
          <w:iCs/>
          <w:color w:val="000000" w:themeColor="text1"/>
        </w:rPr>
        <w:t>.</w:t>
      </w:r>
    </w:p>
    <w:p w14:paraId="211C1020" w14:textId="77777777" w:rsidR="00BA2AA7" w:rsidRPr="00DF4899" w:rsidRDefault="00934426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851CBD" w:rsidRPr="00DF4899">
        <w:rPr>
          <w:bCs/>
          <w:iCs/>
          <w:color w:val="000000" w:themeColor="text1"/>
        </w:rPr>
        <w:t xml:space="preserve">s will </w:t>
      </w:r>
      <w:r w:rsidR="007F5CD5" w:rsidRPr="00DF4899">
        <w:rPr>
          <w:bCs/>
          <w:iCs/>
          <w:color w:val="000000" w:themeColor="text1"/>
        </w:rPr>
        <w:t xml:space="preserve">provide </w:t>
      </w:r>
      <w:r w:rsidR="00851CBD" w:rsidRPr="00DF4899">
        <w:rPr>
          <w:bCs/>
          <w:iCs/>
          <w:color w:val="000000" w:themeColor="text1"/>
        </w:rPr>
        <w:t>evidence</w:t>
      </w:r>
      <w:r w:rsidR="00D06E8C" w:rsidRPr="00DF4899">
        <w:rPr>
          <w:bCs/>
          <w:iCs/>
          <w:color w:val="000000" w:themeColor="text1"/>
        </w:rPr>
        <w:t xml:space="preserve"> of</w:t>
      </w:r>
      <w:r w:rsidR="000E3EC7" w:rsidRPr="00DF4899">
        <w:rPr>
          <w:bCs/>
          <w:iCs/>
          <w:color w:val="000000" w:themeColor="text1"/>
        </w:rPr>
        <w:t xml:space="preserve"> how accessibility for participants</w:t>
      </w:r>
      <w:r w:rsidR="00BA2AA7" w:rsidRPr="00DF4899">
        <w:rPr>
          <w:bCs/>
          <w:iCs/>
          <w:color w:val="000000" w:themeColor="text1"/>
        </w:rPr>
        <w:t xml:space="preserve"> with disabilities will be taken into account in the project</w:t>
      </w:r>
      <w:r w:rsidR="00851CBD" w:rsidRPr="00DF4899">
        <w:rPr>
          <w:bCs/>
          <w:iCs/>
          <w:color w:val="000000" w:themeColor="text1"/>
        </w:rPr>
        <w:t>.</w:t>
      </w:r>
    </w:p>
    <w:p w14:paraId="4CA353D2" w14:textId="77777777" w:rsidR="00A7597E" w:rsidRPr="00DF4899" w:rsidRDefault="00934426" w:rsidP="0053772B">
      <w:pPr>
        <w:pStyle w:val="ListParagraph"/>
        <w:numPr>
          <w:ilvl w:val="0"/>
          <w:numId w:val="4"/>
        </w:numPr>
        <w:rPr>
          <w:b/>
          <w:bCs/>
          <w:i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78177C" w:rsidRPr="00DF4899">
        <w:rPr>
          <w:bCs/>
          <w:iCs/>
          <w:color w:val="000000" w:themeColor="text1"/>
        </w:rPr>
        <w:t>s are required to evid</w:t>
      </w:r>
      <w:r w:rsidR="00322CEF" w:rsidRPr="00DF4899">
        <w:rPr>
          <w:bCs/>
          <w:iCs/>
          <w:color w:val="000000" w:themeColor="text1"/>
        </w:rPr>
        <w:t xml:space="preserve">ence how older offenders (50+) </w:t>
      </w:r>
      <w:r w:rsidR="0078177C" w:rsidRPr="00DF4899">
        <w:rPr>
          <w:bCs/>
          <w:iCs/>
          <w:color w:val="000000" w:themeColor="text1"/>
        </w:rPr>
        <w:t xml:space="preserve">are encouraged to take engage with the programme and detail any specialist provision.  </w:t>
      </w:r>
    </w:p>
    <w:p w14:paraId="30D381F9" w14:textId="77777777" w:rsidR="007F5CD5" w:rsidRPr="00DF4899" w:rsidRDefault="00934426" w:rsidP="0053772B">
      <w:pPr>
        <w:pStyle w:val="ListParagraph"/>
        <w:numPr>
          <w:ilvl w:val="0"/>
          <w:numId w:val="4"/>
        </w:numPr>
        <w:rPr>
          <w:b/>
          <w:bCs/>
          <w:i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437054" w:rsidRPr="00DF4899">
        <w:rPr>
          <w:bCs/>
          <w:iCs/>
          <w:color w:val="000000" w:themeColor="text1"/>
        </w:rPr>
        <w:t>s will e</w:t>
      </w:r>
      <w:r w:rsidR="007F5CD5" w:rsidRPr="00DF4899">
        <w:rPr>
          <w:bCs/>
          <w:iCs/>
          <w:color w:val="000000" w:themeColor="text1"/>
        </w:rPr>
        <w:t>vidence how women are encouraged to take part in the programme and how delivery is gender specific</w:t>
      </w:r>
      <w:r w:rsidR="00242667" w:rsidRPr="00DF4899">
        <w:rPr>
          <w:bCs/>
          <w:iCs/>
          <w:color w:val="000000" w:themeColor="text1"/>
        </w:rPr>
        <w:t>.</w:t>
      </w:r>
      <w:r w:rsidR="007F5CD5" w:rsidRPr="00DF4899">
        <w:rPr>
          <w:bCs/>
          <w:iCs/>
          <w:color w:val="000000" w:themeColor="text1"/>
        </w:rPr>
        <w:t xml:space="preserve">  </w:t>
      </w:r>
    </w:p>
    <w:p w14:paraId="3D2DE966" w14:textId="77777777" w:rsidR="00DA4BB9" w:rsidRPr="00DF4899" w:rsidRDefault="007F5CD5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T</w:t>
      </w:r>
      <w:r w:rsidR="008C4BA0" w:rsidRPr="00DF4899">
        <w:rPr>
          <w:bCs/>
          <w:iCs/>
          <w:color w:val="000000" w:themeColor="text1"/>
        </w:rPr>
        <w:t>he</w:t>
      </w:r>
      <w:r w:rsidR="00DA4BB9" w:rsidRPr="00DF4899">
        <w:rPr>
          <w:bCs/>
          <w:iCs/>
          <w:color w:val="000000" w:themeColor="text1"/>
        </w:rPr>
        <w:t xml:space="preserve"> </w:t>
      </w:r>
      <w:r w:rsidR="00851CBD" w:rsidRPr="00DF4899">
        <w:rPr>
          <w:bCs/>
          <w:iCs/>
          <w:color w:val="000000" w:themeColor="text1"/>
        </w:rPr>
        <w:t>e</w:t>
      </w:r>
      <w:r w:rsidR="00CA483F" w:rsidRPr="00DF4899">
        <w:rPr>
          <w:bCs/>
          <w:iCs/>
          <w:color w:val="000000" w:themeColor="text1"/>
        </w:rPr>
        <w:t xml:space="preserve">quality policy </w:t>
      </w:r>
      <w:r w:rsidRPr="00DF4899">
        <w:rPr>
          <w:bCs/>
          <w:iCs/>
          <w:color w:val="000000" w:themeColor="text1"/>
        </w:rPr>
        <w:t xml:space="preserve">shall be included </w:t>
      </w:r>
      <w:r w:rsidR="00CA483F" w:rsidRPr="00DF4899">
        <w:rPr>
          <w:bCs/>
          <w:iCs/>
          <w:color w:val="000000" w:themeColor="text1"/>
        </w:rPr>
        <w:t xml:space="preserve">on </w:t>
      </w:r>
      <w:r w:rsidRPr="00DF4899">
        <w:rPr>
          <w:bCs/>
          <w:iCs/>
          <w:color w:val="000000" w:themeColor="text1"/>
        </w:rPr>
        <w:t xml:space="preserve">all prime </w:t>
      </w:r>
      <w:r w:rsidR="00934426" w:rsidRPr="00DF4899">
        <w:rPr>
          <w:bCs/>
          <w:iCs/>
          <w:color w:val="000000" w:themeColor="text1"/>
        </w:rPr>
        <w:t>Provider</w:t>
      </w:r>
      <w:r w:rsidRPr="00DF4899">
        <w:rPr>
          <w:bCs/>
          <w:iCs/>
          <w:color w:val="000000" w:themeColor="text1"/>
        </w:rPr>
        <w:t xml:space="preserve">s </w:t>
      </w:r>
      <w:r w:rsidR="00CA483F" w:rsidRPr="00DF4899">
        <w:rPr>
          <w:bCs/>
          <w:iCs/>
          <w:color w:val="000000" w:themeColor="text1"/>
        </w:rPr>
        <w:t>website</w:t>
      </w:r>
      <w:r w:rsidRPr="00DF4899">
        <w:rPr>
          <w:bCs/>
          <w:iCs/>
          <w:color w:val="000000" w:themeColor="text1"/>
        </w:rPr>
        <w:t xml:space="preserve">s and </w:t>
      </w:r>
      <w:r w:rsidR="00A63304" w:rsidRPr="00DF4899">
        <w:rPr>
          <w:bCs/>
          <w:iCs/>
          <w:color w:val="000000" w:themeColor="text1"/>
        </w:rPr>
        <w:t xml:space="preserve">staff, </w:t>
      </w:r>
      <w:r w:rsidR="00CA483F" w:rsidRPr="00DF4899">
        <w:rPr>
          <w:bCs/>
          <w:iCs/>
          <w:color w:val="000000" w:themeColor="text1"/>
        </w:rPr>
        <w:t xml:space="preserve">participants </w:t>
      </w:r>
      <w:r w:rsidR="00A63304" w:rsidRPr="00DF4899">
        <w:rPr>
          <w:bCs/>
          <w:iCs/>
          <w:color w:val="000000" w:themeColor="text1"/>
        </w:rPr>
        <w:t>and stakeholders</w:t>
      </w:r>
      <w:r w:rsidRPr="00DF4899">
        <w:rPr>
          <w:bCs/>
          <w:iCs/>
          <w:color w:val="000000" w:themeColor="text1"/>
        </w:rPr>
        <w:t xml:space="preserve"> shall be encouraged</w:t>
      </w:r>
      <w:r w:rsidR="00A63304" w:rsidRPr="00DF4899">
        <w:rPr>
          <w:bCs/>
          <w:iCs/>
          <w:color w:val="000000" w:themeColor="text1"/>
        </w:rPr>
        <w:t xml:space="preserve"> </w:t>
      </w:r>
      <w:r w:rsidR="00CA483F" w:rsidRPr="00DF4899">
        <w:rPr>
          <w:bCs/>
          <w:iCs/>
          <w:color w:val="000000" w:themeColor="text1"/>
        </w:rPr>
        <w:t>to access</w:t>
      </w:r>
      <w:r w:rsidR="00851CBD" w:rsidRPr="00DF4899">
        <w:rPr>
          <w:bCs/>
          <w:iCs/>
          <w:color w:val="000000" w:themeColor="text1"/>
        </w:rPr>
        <w:t>.</w:t>
      </w:r>
    </w:p>
    <w:p w14:paraId="255FD3E2" w14:textId="77777777" w:rsidR="00DA4BB9" w:rsidRPr="00DF4899" w:rsidRDefault="00934426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</w:t>
      </w:r>
      <w:r w:rsidR="000E3EC7" w:rsidRPr="00DF4899">
        <w:rPr>
          <w:bCs/>
          <w:iCs/>
          <w:color w:val="000000" w:themeColor="text1"/>
        </w:rPr>
        <w:t>s will evidence</w:t>
      </w:r>
      <w:r w:rsidR="00DA4BB9" w:rsidRPr="00DF4899">
        <w:rPr>
          <w:bCs/>
          <w:iCs/>
          <w:color w:val="000000" w:themeColor="text1"/>
        </w:rPr>
        <w:t xml:space="preserve"> ways in which delivery assess’ participants needs and </w:t>
      </w:r>
      <w:r w:rsidR="00E44A2E" w:rsidRPr="00DF4899">
        <w:rPr>
          <w:bCs/>
          <w:iCs/>
          <w:color w:val="000000" w:themeColor="text1"/>
        </w:rPr>
        <w:t>can be</w:t>
      </w:r>
      <w:r w:rsidR="00DA4BB9" w:rsidRPr="00DF4899">
        <w:rPr>
          <w:bCs/>
          <w:iCs/>
          <w:color w:val="000000" w:themeColor="text1"/>
        </w:rPr>
        <w:t xml:space="preserve"> adapted to the individual (marketing material, learning difficulties, language barriers etc.) </w:t>
      </w:r>
    </w:p>
    <w:p w14:paraId="6850592B" w14:textId="77777777" w:rsidR="000570B5" w:rsidRPr="00DF4899" w:rsidRDefault="0041696A" w:rsidP="0053772B">
      <w:pPr>
        <w:pStyle w:val="ListParagraph"/>
        <w:numPr>
          <w:ilvl w:val="0"/>
          <w:numId w:val="4"/>
        </w:numPr>
        <w:rPr>
          <w:bCs/>
          <w:iCs/>
          <w:color w:val="000000" w:themeColor="text1"/>
        </w:rPr>
      </w:pPr>
      <w:r w:rsidRPr="00DF4899">
        <w:rPr>
          <w:bCs/>
          <w:iCs/>
          <w:color w:val="000000" w:themeColor="text1"/>
        </w:rPr>
        <w:t>Providers will e</w:t>
      </w:r>
      <w:r w:rsidR="00DA4BB9" w:rsidRPr="00DF4899">
        <w:rPr>
          <w:bCs/>
          <w:iCs/>
          <w:color w:val="000000" w:themeColor="text1"/>
        </w:rPr>
        <w:t>ncourage participants to develop a further understanding of equality and diversity ideals and apply learned behaviours within the community</w:t>
      </w:r>
      <w:r w:rsidR="00851CBD" w:rsidRPr="00DF4899">
        <w:rPr>
          <w:bCs/>
          <w:iCs/>
          <w:color w:val="000000" w:themeColor="text1"/>
        </w:rPr>
        <w:t>.</w:t>
      </w:r>
    </w:p>
    <w:p w14:paraId="6D79BF2E" w14:textId="77777777" w:rsidR="000570B5" w:rsidRDefault="000570B5" w:rsidP="000570B5">
      <w:pPr>
        <w:rPr>
          <w:b/>
          <w:bCs/>
          <w:i/>
          <w:iCs/>
        </w:rPr>
      </w:pPr>
    </w:p>
    <w:p w14:paraId="389A3EB2" w14:textId="5E69C37B" w:rsidR="00E6628E" w:rsidRPr="00E44A2E" w:rsidRDefault="0041696A" w:rsidP="00CB1974">
      <w:pPr>
        <w:rPr>
          <w:bCs/>
          <w:iCs/>
        </w:rPr>
      </w:pPr>
      <w:r>
        <w:rPr>
          <w:b/>
          <w:bCs/>
          <w:i/>
          <w:iCs/>
        </w:rPr>
        <w:lastRenderedPageBreak/>
        <w:t>CFO as an employer</w:t>
      </w:r>
      <w:r w:rsidR="00DF4899">
        <w:rPr>
          <w:b/>
          <w:bCs/>
          <w:i/>
          <w:iCs/>
        </w:rPr>
        <w:t xml:space="preserve"> - </w:t>
      </w:r>
      <w:r w:rsidR="00DF4899" w:rsidRPr="00DF4899">
        <w:rPr>
          <w:bCs/>
          <w:i/>
          <w:iCs/>
        </w:rPr>
        <w:t>E</w:t>
      </w:r>
      <w:r w:rsidR="00E6628E" w:rsidRPr="00DF4899">
        <w:rPr>
          <w:bCs/>
          <w:iCs/>
        </w:rPr>
        <w:t>q</w:t>
      </w:r>
      <w:r w:rsidR="00E6628E" w:rsidRPr="00E44A2E">
        <w:rPr>
          <w:bCs/>
          <w:iCs/>
        </w:rPr>
        <w:t>uality within the workplace</w:t>
      </w:r>
      <w:r w:rsidR="00851CBD">
        <w:rPr>
          <w:bCs/>
          <w:iCs/>
        </w:rPr>
        <w:t xml:space="preserve"> for internal CFO staff will include</w:t>
      </w:r>
      <w:r w:rsidR="00E6628E" w:rsidRPr="00E44A2E">
        <w:rPr>
          <w:bCs/>
          <w:iCs/>
        </w:rPr>
        <w:t>:</w:t>
      </w:r>
    </w:p>
    <w:p w14:paraId="1064011E" w14:textId="56BBEDB3" w:rsidR="00A63304" w:rsidRDefault="00A63304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Staff </w:t>
      </w:r>
      <w:r w:rsidR="000056D0">
        <w:rPr>
          <w:bCs/>
          <w:iCs/>
        </w:rPr>
        <w:t xml:space="preserve">responsible for </w:t>
      </w:r>
      <w:r>
        <w:rPr>
          <w:bCs/>
          <w:iCs/>
        </w:rPr>
        <w:t>crea</w:t>
      </w:r>
      <w:r w:rsidR="005F0209">
        <w:rPr>
          <w:bCs/>
          <w:iCs/>
        </w:rPr>
        <w:t>ting job descriptions and person</w:t>
      </w:r>
      <w:r>
        <w:rPr>
          <w:bCs/>
          <w:iCs/>
        </w:rPr>
        <w:t xml:space="preserve"> specifications will </w:t>
      </w:r>
      <w:r w:rsidR="00110F44">
        <w:rPr>
          <w:bCs/>
          <w:iCs/>
        </w:rPr>
        <w:t xml:space="preserve">include aspects of </w:t>
      </w:r>
      <w:r>
        <w:rPr>
          <w:bCs/>
          <w:iCs/>
        </w:rPr>
        <w:t xml:space="preserve">equality &amp; diversity policies and be aware of discrimination and diversity within recruitment processes. All Job Descriptions are graded and approved by the ‘Job Evaluation Team’ to ensure </w:t>
      </w:r>
      <w:r w:rsidR="00242667">
        <w:rPr>
          <w:bCs/>
          <w:iCs/>
        </w:rPr>
        <w:t xml:space="preserve">consistency, remove bias </w:t>
      </w:r>
      <w:r w:rsidR="00800B10">
        <w:rPr>
          <w:bCs/>
          <w:iCs/>
        </w:rPr>
        <w:t>an</w:t>
      </w:r>
      <w:r w:rsidR="007F5CD5">
        <w:rPr>
          <w:bCs/>
          <w:iCs/>
        </w:rPr>
        <w:t xml:space="preserve">d include all relevant sections (including equality &amp; diversity). </w:t>
      </w:r>
    </w:p>
    <w:p w14:paraId="678B9631" w14:textId="77777777" w:rsidR="00394DD3" w:rsidRDefault="00394DD3" w:rsidP="0053772B">
      <w:pPr>
        <w:pStyle w:val="ListParagraph"/>
        <w:numPr>
          <w:ilvl w:val="0"/>
          <w:numId w:val="3"/>
        </w:numPr>
        <w:rPr>
          <w:bCs/>
          <w:iCs/>
        </w:rPr>
      </w:pPr>
      <w:r w:rsidRPr="00E44A2E">
        <w:rPr>
          <w:bCs/>
          <w:iCs/>
        </w:rPr>
        <w:t xml:space="preserve">All employees </w:t>
      </w:r>
      <w:r w:rsidR="00184139">
        <w:rPr>
          <w:bCs/>
          <w:iCs/>
        </w:rPr>
        <w:t>will be</w:t>
      </w:r>
      <w:r w:rsidR="00E44A2E" w:rsidRPr="00E44A2E">
        <w:rPr>
          <w:bCs/>
          <w:iCs/>
        </w:rPr>
        <w:t xml:space="preserve"> </w:t>
      </w:r>
      <w:r w:rsidRPr="00E44A2E">
        <w:rPr>
          <w:bCs/>
          <w:iCs/>
        </w:rPr>
        <w:t>recruited via open and fair competition</w:t>
      </w:r>
      <w:r w:rsidR="007F5CD5">
        <w:rPr>
          <w:bCs/>
          <w:iCs/>
        </w:rPr>
        <w:t xml:space="preserve"> &amp; </w:t>
      </w:r>
      <w:r w:rsidR="00885A28" w:rsidRPr="00E44A2E">
        <w:rPr>
          <w:bCs/>
          <w:iCs/>
        </w:rPr>
        <w:t>d</w:t>
      </w:r>
      <w:r w:rsidR="00184139">
        <w:rPr>
          <w:bCs/>
          <w:iCs/>
        </w:rPr>
        <w:t>isabled applicants will be</w:t>
      </w:r>
      <w:r w:rsidR="00E44A2E" w:rsidRPr="00E44A2E">
        <w:rPr>
          <w:bCs/>
          <w:iCs/>
        </w:rPr>
        <w:t xml:space="preserve"> offered the</w:t>
      </w:r>
      <w:r w:rsidR="00885A28" w:rsidRPr="00E44A2E">
        <w:rPr>
          <w:bCs/>
          <w:iCs/>
        </w:rPr>
        <w:t xml:space="preserve"> guaranteed interview</w:t>
      </w:r>
      <w:r w:rsidR="00E44A2E" w:rsidRPr="00E44A2E">
        <w:rPr>
          <w:bCs/>
          <w:iCs/>
        </w:rPr>
        <w:t xml:space="preserve"> scheme</w:t>
      </w:r>
      <w:r w:rsidR="00885A28" w:rsidRPr="00E44A2E">
        <w:rPr>
          <w:bCs/>
          <w:iCs/>
        </w:rPr>
        <w:t xml:space="preserve">. </w:t>
      </w:r>
    </w:p>
    <w:p w14:paraId="0AABB621" w14:textId="2AF5817B" w:rsidR="0049543A" w:rsidRPr="00367B5C" w:rsidRDefault="0049543A" w:rsidP="0053772B">
      <w:pPr>
        <w:pStyle w:val="ListParagraph"/>
        <w:numPr>
          <w:ilvl w:val="0"/>
          <w:numId w:val="3"/>
        </w:numPr>
        <w:rPr>
          <w:bCs/>
          <w:iCs/>
          <w:color w:val="000000" w:themeColor="text1"/>
        </w:rPr>
      </w:pPr>
      <w:r>
        <w:rPr>
          <w:bCs/>
          <w:iCs/>
        </w:rPr>
        <w:t>Suitable adjustments will be</w:t>
      </w:r>
      <w:r w:rsidRPr="00E44A2E">
        <w:rPr>
          <w:bCs/>
          <w:iCs/>
        </w:rPr>
        <w:t xml:space="preserve"> available for disabled staff members</w:t>
      </w:r>
      <w:r>
        <w:rPr>
          <w:bCs/>
          <w:iCs/>
        </w:rPr>
        <w:t xml:space="preserve"> </w:t>
      </w:r>
      <w:r w:rsidRPr="00367B5C">
        <w:rPr>
          <w:bCs/>
          <w:iCs/>
          <w:color w:val="000000" w:themeColor="text1"/>
        </w:rPr>
        <w:t>where required</w:t>
      </w:r>
      <w:r w:rsidR="00AB58C8" w:rsidRPr="00367B5C">
        <w:rPr>
          <w:bCs/>
          <w:iCs/>
          <w:color w:val="000000" w:themeColor="text1"/>
        </w:rPr>
        <w:t xml:space="preserve">, in line with the HMPPS Equality Strategy. </w:t>
      </w:r>
    </w:p>
    <w:p w14:paraId="4D313090" w14:textId="0B125203" w:rsidR="0049543A" w:rsidRPr="00367B5C" w:rsidRDefault="00800B10" w:rsidP="0053772B">
      <w:pPr>
        <w:pStyle w:val="ListParagraph"/>
        <w:numPr>
          <w:ilvl w:val="0"/>
          <w:numId w:val="3"/>
        </w:numPr>
        <w:rPr>
          <w:bCs/>
          <w:iCs/>
          <w:color w:val="000000" w:themeColor="text1"/>
        </w:rPr>
      </w:pPr>
      <w:r>
        <w:rPr>
          <w:bCs/>
          <w:iCs/>
        </w:rPr>
        <w:t>Protected characteristics and under-representation</w:t>
      </w:r>
      <w:r w:rsidR="00184139">
        <w:rPr>
          <w:bCs/>
          <w:iCs/>
        </w:rPr>
        <w:t xml:space="preserve"> will be</w:t>
      </w:r>
      <w:r w:rsidRPr="00800B10">
        <w:rPr>
          <w:bCs/>
          <w:iCs/>
        </w:rPr>
        <w:t xml:space="preserve"> monitored</w:t>
      </w:r>
      <w:r w:rsidR="007F5CD5">
        <w:rPr>
          <w:bCs/>
          <w:iCs/>
        </w:rPr>
        <w:t xml:space="preserve"> and addressed</w:t>
      </w:r>
      <w:r w:rsidR="00184139">
        <w:rPr>
          <w:bCs/>
          <w:iCs/>
        </w:rPr>
        <w:t xml:space="preserve"> </w:t>
      </w:r>
      <w:r w:rsidR="00242667">
        <w:rPr>
          <w:bCs/>
          <w:iCs/>
        </w:rPr>
        <w:t>centrally</w:t>
      </w:r>
      <w:r w:rsidR="00184139">
        <w:rPr>
          <w:bCs/>
          <w:iCs/>
        </w:rPr>
        <w:t xml:space="preserve"> by MOJ Shared </w:t>
      </w:r>
      <w:r w:rsidR="00184139" w:rsidRPr="00367B5C">
        <w:rPr>
          <w:bCs/>
          <w:iCs/>
          <w:color w:val="000000" w:themeColor="text1"/>
        </w:rPr>
        <w:t>Services</w:t>
      </w:r>
      <w:r w:rsidRPr="00367B5C">
        <w:rPr>
          <w:bCs/>
          <w:iCs/>
          <w:color w:val="000000" w:themeColor="text1"/>
        </w:rPr>
        <w:t xml:space="preserve">. </w:t>
      </w:r>
      <w:r w:rsidR="00BD0DE8" w:rsidRPr="00367B5C">
        <w:rPr>
          <w:bCs/>
          <w:iCs/>
          <w:color w:val="000000" w:themeColor="text1"/>
        </w:rPr>
        <w:t xml:space="preserve">As part of the HMPPS Equality Strategy, HMPPS will strengthen the quality and analysis of outcomes data for staff and offenders, consistent with Public Sector Equality. </w:t>
      </w:r>
    </w:p>
    <w:p w14:paraId="01F18AFC" w14:textId="2F4DF83F" w:rsidR="0049543A" w:rsidRPr="005F0209" w:rsidRDefault="0049543A" w:rsidP="0053772B">
      <w:pPr>
        <w:pStyle w:val="ListParagraph"/>
        <w:numPr>
          <w:ilvl w:val="0"/>
          <w:numId w:val="3"/>
        </w:numPr>
        <w:rPr>
          <w:bCs/>
          <w:iCs/>
        </w:rPr>
      </w:pPr>
      <w:r w:rsidRPr="005F0209">
        <w:rPr>
          <w:bCs/>
          <w:iCs/>
        </w:rPr>
        <w:t>Line managers will ensure staff complete mandatory ‘equality and diversity essentials’ training on Civil Service Learning portal</w:t>
      </w:r>
      <w:r w:rsidR="006A3656" w:rsidRPr="005F0209">
        <w:rPr>
          <w:bCs/>
          <w:iCs/>
        </w:rPr>
        <w:t xml:space="preserve"> and training is completed </w:t>
      </w:r>
      <w:r w:rsidRPr="005F0209">
        <w:rPr>
          <w:bCs/>
          <w:iCs/>
        </w:rPr>
        <w:t>on an annual basis</w:t>
      </w:r>
      <w:r w:rsidR="006A3656" w:rsidRPr="005F0209">
        <w:rPr>
          <w:bCs/>
          <w:iCs/>
        </w:rPr>
        <w:t xml:space="preserve">. </w:t>
      </w:r>
    </w:p>
    <w:p w14:paraId="0A2EA42F" w14:textId="2CFEDC9F" w:rsidR="0049543A" w:rsidRDefault="00242667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New em</w:t>
      </w:r>
      <w:r w:rsidR="00110F44">
        <w:rPr>
          <w:bCs/>
          <w:iCs/>
        </w:rPr>
        <w:t>ployees will be informed of</w:t>
      </w:r>
      <w:r>
        <w:rPr>
          <w:bCs/>
          <w:iCs/>
        </w:rPr>
        <w:t xml:space="preserve"> </w:t>
      </w:r>
      <w:r w:rsidR="00934426">
        <w:rPr>
          <w:bCs/>
          <w:iCs/>
        </w:rPr>
        <w:t xml:space="preserve">HMPPS </w:t>
      </w:r>
      <w:r>
        <w:rPr>
          <w:bCs/>
          <w:iCs/>
        </w:rPr>
        <w:t>&amp;</w:t>
      </w:r>
      <w:r w:rsidR="00110F44">
        <w:rPr>
          <w:bCs/>
          <w:iCs/>
        </w:rPr>
        <w:t xml:space="preserve"> </w:t>
      </w:r>
      <w:r w:rsidR="000056D0">
        <w:rPr>
          <w:bCs/>
          <w:iCs/>
        </w:rPr>
        <w:t xml:space="preserve">CFO </w:t>
      </w:r>
      <w:r w:rsidR="00934426">
        <w:rPr>
          <w:bCs/>
          <w:iCs/>
        </w:rPr>
        <w:t>E</w:t>
      </w:r>
      <w:r w:rsidR="000056D0">
        <w:rPr>
          <w:bCs/>
          <w:iCs/>
        </w:rPr>
        <w:t xml:space="preserve">quality </w:t>
      </w:r>
      <w:r w:rsidR="00934426">
        <w:rPr>
          <w:bCs/>
          <w:iCs/>
        </w:rPr>
        <w:t>P</w:t>
      </w:r>
      <w:r w:rsidR="000056D0">
        <w:rPr>
          <w:bCs/>
          <w:iCs/>
        </w:rPr>
        <w:t>olicies</w:t>
      </w:r>
      <w:r>
        <w:rPr>
          <w:bCs/>
          <w:iCs/>
        </w:rPr>
        <w:t xml:space="preserve"> on their first day and the policy shall be referenced in the employees </w:t>
      </w:r>
      <w:r w:rsidR="00B67681">
        <w:rPr>
          <w:bCs/>
          <w:iCs/>
        </w:rPr>
        <w:t>i</w:t>
      </w:r>
      <w:r>
        <w:rPr>
          <w:bCs/>
          <w:iCs/>
        </w:rPr>
        <w:t xml:space="preserve">nduction </w:t>
      </w:r>
      <w:r w:rsidR="00B67681">
        <w:rPr>
          <w:bCs/>
          <w:iCs/>
        </w:rPr>
        <w:t>p</w:t>
      </w:r>
      <w:r>
        <w:rPr>
          <w:bCs/>
          <w:iCs/>
        </w:rPr>
        <w:t xml:space="preserve">ack. </w:t>
      </w:r>
      <w:r w:rsidR="0049543A">
        <w:rPr>
          <w:bCs/>
          <w:iCs/>
        </w:rPr>
        <w:t xml:space="preserve"> </w:t>
      </w:r>
      <w:r w:rsidR="007F3930">
        <w:rPr>
          <w:bCs/>
          <w:iCs/>
        </w:rPr>
        <w:t xml:space="preserve">Staff will be encouraged to familiarise themselves with the policies and understand the principles of equality and diversity within the workplace. </w:t>
      </w:r>
    </w:p>
    <w:p w14:paraId="36E9A34D" w14:textId="5F3E8230" w:rsidR="00242667" w:rsidRDefault="0049543A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New and existing</w:t>
      </w:r>
      <w:r w:rsidR="005F0209">
        <w:rPr>
          <w:bCs/>
          <w:iCs/>
        </w:rPr>
        <w:t xml:space="preserve"> staff will be informed of policies</w:t>
      </w:r>
      <w:r>
        <w:rPr>
          <w:bCs/>
          <w:iCs/>
        </w:rPr>
        <w:t xml:space="preserve"> applicable to working for HMPPS CFO (flexible work/life balance, grievance procedures, occupational health and safety, pay/pensions/benefits and counselling support) and shown how to access ‘My Services’ on the intranet to access more information. </w:t>
      </w:r>
      <w:r w:rsidR="006A3656">
        <w:rPr>
          <w:bCs/>
          <w:iCs/>
        </w:rPr>
        <w:t xml:space="preserve">This will be referenced in the staff induction and staff handbook. </w:t>
      </w:r>
    </w:p>
    <w:p w14:paraId="3C2A8AED" w14:textId="77777777" w:rsidR="0046501B" w:rsidRDefault="0046501B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Existing staff members</w:t>
      </w:r>
      <w:r w:rsidR="00B35873">
        <w:rPr>
          <w:bCs/>
          <w:iCs/>
        </w:rPr>
        <w:t xml:space="preserve"> will</w:t>
      </w:r>
      <w:r>
        <w:rPr>
          <w:bCs/>
          <w:iCs/>
        </w:rPr>
        <w:t xml:space="preserve"> receive a ‘Staff Information Pack’ once a year which details informat</w:t>
      </w:r>
      <w:r w:rsidR="00110F44">
        <w:rPr>
          <w:bCs/>
          <w:iCs/>
        </w:rPr>
        <w:t xml:space="preserve">ion &amp; policies relevant to </w:t>
      </w:r>
      <w:r>
        <w:rPr>
          <w:bCs/>
          <w:iCs/>
        </w:rPr>
        <w:t xml:space="preserve">CFO (office information, health &amp; safety, HR &amp;IT information). The equality policy shall be referenced within the ‘staff information pack’ and any relevant updates shall be included. </w:t>
      </w:r>
    </w:p>
    <w:p w14:paraId="6F2E9F66" w14:textId="447FFB51" w:rsidR="00394DD3" w:rsidRPr="00E44A2E" w:rsidRDefault="00E76C27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The CFO will a</w:t>
      </w:r>
      <w:r w:rsidR="00885A28" w:rsidRPr="00E44A2E">
        <w:rPr>
          <w:bCs/>
          <w:iCs/>
        </w:rPr>
        <w:t>ctively challenge any</w:t>
      </w:r>
      <w:r w:rsidR="00394DD3" w:rsidRPr="00E44A2E">
        <w:rPr>
          <w:bCs/>
          <w:iCs/>
        </w:rPr>
        <w:t xml:space="preserve"> concerns regarding bullying, harassment, or victimisation and ensure all concerns develop through the appropriate HR channels. </w:t>
      </w:r>
      <w:r w:rsidR="005F0209">
        <w:rPr>
          <w:bCs/>
          <w:iCs/>
        </w:rPr>
        <w:t xml:space="preserve">The relevant </w:t>
      </w:r>
      <w:r w:rsidR="0049543A">
        <w:rPr>
          <w:bCs/>
          <w:iCs/>
        </w:rPr>
        <w:t xml:space="preserve">policy can be found on My Services </w:t>
      </w:r>
      <w:r w:rsidR="006A3656">
        <w:rPr>
          <w:bCs/>
          <w:iCs/>
        </w:rPr>
        <w:t>for staff to raise a grievance and is also r</w:t>
      </w:r>
      <w:r w:rsidR="00AD68D2">
        <w:rPr>
          <w:bCs/>
          <w:iCs/>
        </w:rPr>
        <w:t>eferenced in the staff handbook</w:t>
      </w:r>
      <w:r w:rsidR="006A3656">
        <w:rPr>
          <w:bCs/>
          <w:iCs/>
        </w:rPr>
        <w:t xml:space="preserve">. </w:t>
      </w:r>
    </w:p>
    <w:p w14:paraId="6AA605D0" w14:textId="77777777" w:rsidR="00394DD3" w:rsidRDefault="00B35873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All SPDR reviews and markings will be</w:t>
      </w:r>
      <w:r w:rsidR="00394DD3" w:rsidRPr="00E44A2E">
        <w:rPr>
          <w:bCs/>
          <w:iCs/>
        </w:rPr>
        <w:t xml:space="preserve"> discussed by SMT to ensure markings are fair and free from</w:t>
      </w:r>
      <w:r w:rsidR="00B95AAD">
        <w:rPr>
          <w:bCs/>
          <w:iCs/>
        </w:rPr>
        <w:t xml:space="preserve"> any indirect or direct</w:t>
      </w:r>
      <w:r w:rsidR="00394DD3" w:rsidRPr="00E44A2E">
        <w:rPr>
          <w:bCs/>
          <w:iCs/>
        </w:rPr>
        <w:t xml:space="preserve"> discrimination. </w:t>
      </w:r>
    </w:p>
    <w:p w14:paraId="7E39DCD8" w14:textId="7AE26DF0" w:rsidR="00851CBD" w:rsidRDefault="00800B10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Staff members are encouraged to complete ‘personal development’ courses on CSL and discuss career progression withi</w:t>
      </w:r>
      <w:r w:rsidRPr="00B67681">
        <w:rPr>
          <w:bCs/>
          <w:iCs/>
        </w:rPr>
        <w:t>n their SPDR’s</w:t>
      </w:r>
      <w:r w:rsidR="00242667" w:rsidRPr="00B67681">
        <w:rPr>
          <w:bCs/>
          <w:iCs/>
        </w:rPr>
        <w:t>.</w:t>
      </w:r>
      <w:r w:rsidR="007D1DBB" w:rsidRPr="00B67681">
        <w:rPr>
          <w:bCs/>
          <w:iCs/>
        </w:rPr>
        <w:t xml:space="preserve"> </w:t>
      </w:r>
    </w:p>
    <w:p w14:paraId="0CDA33F9" w14:textId="77777777" w:rsidR="00800B10" w:rsidRPr="00E44A2E" w:rsidRDefault="0046501B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All staff are required to</w:t>
      </w:r>
      <w:r w:rsidR="00851CBD">
        <w:rPr>
          <w:bCs/>
          <w:iCs/>
        </w:rPr>
        <w:t xml:space="preserve"> complete </w:t>
      </w:r>
      <w:r>
        <w:rPr>
          <w:bCs/>
          <w:iCs/>
        </w:rPr>
        <w:t xml:space="preserve">the </w:t>
      </w:r>
      <w:r w:rsidR="00851CBD">
        <w:rPr>
          <w:bCs/>
          <w:iCs/>
        </w:rPr>
        <w:t>mandatory ‘Annual Civil Service Survey’ which includes questions with an equality and diversity theme, results will be analysed by SMT and an action plan put in place to</w:t>
      </w:r>
      <w:r w:rsidR="007F5CD5">
        <w:rPr>
          <w:bCs/>
          <w:iCs/>
        </w:rPr>
        <w:t xml:space="preserve"> address low scoring questions/problematic areas. </w:t>
      </w:r>
    </w:p>
    <w:p w14:paraId="2A088158" w14:textId="77777777" w:rsidR="00885A28" w:rsidRPr="00E44A2E" w:rsidRDefault="00B35873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T</w:t>
      </w:r>
      <w:r w:rsidR="00800B10">
        <w:rPr>
          <w:bCs/>
          <w:iCs/>
        </w:rPr>
        <w:t>he Equality policy</w:t>
      </w:r>
      <w:r>
        <w:rPr>
          <w:bCs/>
          <w:iCs/>
        </w:rPr>
        <w:t xml:space="preserve"> will be promoted</w:t>
      </w:r>
      <w:r w:rsidR="00885A28" w:rsidRPr="00E44A2E">
        <w:rPr>
          <w:bCs/>
          <w:iCs/>
        </w:rPr>
        <w:t xml:space="preserve"> to all staff members</w:t>
      </w:r>
      <w:r w:rsidR="007F5CD5">
        <w:rPr>
          <w:bCs/>
          <w:iCs/>
        </w:rPr>
        <w:t xml:space="preserve"> and prime </w:t>
      </w:r>
      <w:r w:rsidR="00934426">
        <w:rPr>
          <w:bCs/>
          <w:iCs/>
        </w:rPr>
        <w:t>Provider</w:t>
      </w:r>
      <w:r w:rsidR="007F5CD5">
        <w:rPr>
          <w:bCs/>
          <w:iCs/>
        </w:rPr>
        <w:t>s</w:t>
      </w:r>
      <w:r w:rsidR="00885A28" w:rsidRPr="00E44A2E">
        <w:rPr>
          <w:bCs/>
          <w:iCs/>
        </w:rPr>
        <w:t xml:space="preserve"> via a </w:t>
      </w:r>
      <w:r w:rsidR="007F5CD5">
        <w:rPr>
          <w:bCs/>
          <w:iCs/>
        </w:rPr>
        <w:t xml:space="preserve">CFO </w:t>
      </w:r>
      <w:r w:rsidR="00885A28" w:rsidRPr="00E44A2E">
        <w:rPr>
          <w:bCs/>
          <w:iCs/>
        </w:rPr>
        <w:t>bulletin</w:t>
      </w:r>
      <w:r w:rsidR="0046501B">
        <w:rPr>
          <w:bCs/>
          <w:iCs/>
        </w:rPr>
        <w:t>, annual staff</w:t>
      </w:r>
      <w:r w:rsidR="00934426">
        <w:rPr>
          <w:bCs/>
          <w:iCs/>
        </w:rPr>
        <w:t xml:space="preserve"> I</w:t>
      </w:r>
      <w:r w:rsidR="0046501B">
        <w:rPr>
          <w:bCs/>
          <w:iCs/>
        </w:rPr>
        <w:t xml:space="preserve">nformation </w:t>
      </w:r>
      <w:r w:rsidR="00934426">
        <w:rPr>
          <w:bCs/>
          <w:iCs/>
        </w:rPr>
        <w:t>P</w:t>
      </w:r>
      <w:r w:rsidR="0046501B">
        <w:rPr>
          <w:bCs/>
          <w:iCs/>
        </w:rPr>
        <w:t>ack</w:t>
      </w:r>
      <w:r w:rsidR="00885A28" w:rsidRPr="00E44A2E">
        <w:rPr>
          <w:bCs/>
          <w:iCs/>
        </w:rPr>
        <w:t xml:space="preserve"> and uploading onto the CFO website. </w:t>
      </w:r>
    </w:p>
    <w:p w14:paraId="2356D50D" w14:textId="77777777" w:rsidR="00885A28" w:rsidRPr="00E44A2E" w:rsidRDefault="00B35873" w:rsidP="0053772B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A</w:t>
      </w:r>
      <w:r w:rsidR="00885A28" w:rsidRPr="00E44A2E">
        <w:rPr>
          <w:bCs/>
          <w:iCs/>
        </w:rPr>
        <w:t>ll staff to behave in an appropriate manner and raise any related concerns with their line manager</w:t>
      </w:r>
      <w:r w:rsidR="007F5CD5">
        <w:rPr>
          <w:bCs/>
          <w:iCs/>
        </w:rPr>
        <w:t>.</w:t>
      </w:r>
    </w:p>
    <w:p w14:paraId="55382385" w14:textId="77777777" w:rsidR="00F551EA" w:rsidRDefault="00F551EA" w:rsidP="006B1FEA">
      <w:pPr>
        <w:rPr>
          <w:b/>
          <w:u w:val="single"/>
        </w:rPr>
      </w:pPr>
    </w:p>
    <w:p w14:paraId="65B79050" w14:textId="77777777" w:rsidR="00F052C6" w:rsidRPr="00E44A2E" w:rsidRDefault="00FE2BDC" w:rsidP="006B1FEA">
      <w:pPr>
        <w:rPr>
          <w:b/>
          <w:u w:val="single"/>
        </w:rPr>
      </w:pPr>
      <w:r w:rsidRPr="00E44A2E">
        <w:rPr>
          <w:b/>
          <w:u w:val="single"/>
        </w:rPr>
        <w:lastRenderedPageBreak/>
        <w:t>Review</w:t>
      </w:r>
    </w:p>
    <w:p w14:paraId="4E283596" w14:textId="77777777" w:rsidR="00FE2BDC" w:rsidRPr="00E44A2E" w:rsidRDefault="00FE2BDC" w:rsidP="006B1FEA">
      <w:r w:rsidRPr="00E44A2E">
        <w:t xml:space="preserve">The </w:t>
      </w:r>
      <w:r w:rsidR="00AB0B0B" w:rsidRPr="00E44A2E">
        <w:t xml:space="preserve">CFO </w:t>
      </w:r>
      <w:r w:rsidRPr="00E44A2E">
        <w:t>Engagement Manager will be responsible for the creation and management of this document</w:t>
      </w:r>
      <w:r w:rsidR="00283BEA">
        <w:t xml:space="preserve"> and will act as an Equality champion</w:t>
      </w:r>
      <w:r w:rsidRPr="00E44A2E">
        <w:t>.</w:t>
      </w:r>
      <w:r w:rsidR="00885A28" w:rsidRPr="00E44A2E">
        <w:t xml:space="preserve"> The final version of the document will be reviewed by the </w:t>
      </w:r>
      <w:r w:rsidR="00242667">
        <w:t>Operational Pe</w:t>
      </w:r>
      <w:r w:rsidR="0046501B">
        <w:t>rformance Managers, HR Manager and</w:t>
      </w:r>
      <w:r w:rsidR="00242667">
        <w:t xml:space="preserve"> the Senior Management T</w:t>
      </w:r>
      <w:r w:rsidR="00885A28" w:rsidRPr="00E44A2E">
        <w:t xml:space="preserve">eam and any improvements or amendments shall be included. </w:t>
      </w:r>
      <w:r w:rsidRPr="00E44A2E">
        <w:t xml:space="preserve">An annual review shall </w:t>
      </w:r>
      <w:r w:rsidR="00885A28" w:rsidRPr="00E44A2E">
        <w:t>be scheduled</w:t>
      </w:r>
      <w:r w:rsidRPr="00E44A2E">
        <w:t xml:space="preserve"> to make any necessary amendment</w:t>
      </w:r>
      <w:r w:rsidR="00242667">
        <w:t>s and policy updates</w:t>
      </w:r>
      <w:r w:rsidRPr="00E44A2E">
        <w:t xml:space="preserve">. </w:t>
      </w:r>
    </w:p>
    <w:p w14:paraId="779CA43D" w14:textId="77777777" w:rsidR="00AB0B0B" w:rsidRPr="00E44A2E" w:rsidRDefault="00AB0B0B" w:rsidP="006B1FEA">
      <w:r w:rsidRPr="00E44A2E">
        <w:t xml:space="preserve">The policy and implementation plan shall be disseminated to all </w:t>
      </w:r>
      <w:r w:rsidR="00A90B9D" w:rsidRPr="00E44A2E">
        <w:t xml:space="preserve">internal </w:t>
      </w:r>
      <w:r w:rsidRPr="00E44A2E">
        <w:t>CFO staff</w:t>
      </w:r>
      <w:r w:rsidR="007F5CD5">
        <w:t xml:space="preserve"> and prime </w:t>
      </w:r>
      <w:r w:rsidR="00934426">
        <w:t>Provider</w:t>
      </w:r>
      <w:r w:rsidR="007F5CD5">
        <w:t>s</w:t>
      </w:r>
      <w:r w:rsidRPr="00E44A2E">
        <w:t xml:space="preserve"> upon completion and uploaded onto the CFO3 website.  </w:t>
      </w:r>
    </w:p>
    <w:p w14:paraId="4F55B5D0" w14:textId="77777777" w:rsidR="00FE2BDC" w:rsidRDefault="00790D77" w:rsidP="00790D77">
      <w:r w:rsidRPr="00B67681">
        <w:t xml:space="preserve">The policy is endorsed by the head of HMPPS CFO, Mark </w:t>
      </w:r>
      <w:proofErr w:type="spellStart"/>
      <w:r w:rsidRPr="00B67681">
        <w:t>Nickson</w:t>
      </w:r>
      <w:proofErr w:type="spellEnd"/>
      <w:r w:rsidRPr="00B67681">
        <w:t xml:space="preserve"> and will be reviewed on an annual basis. </w:t>
      </w:r>
    </w:p>
    <w:p w14:paraId="707ECD60" w14:textId="77777777" w:rsidR="00DF4990" w:rsidRPr="00B67681" w:rsidRDefault="00DF4990" w:rsidP="00790D77"/>
    <w:p w14:paraId="708B496D" w14:textId="77AEB559" w:rsidR="002F60C7" w:rsidRDefault="00DF4990" w:rsidP="00790D77">
      <w:pPr>
        <w:rPr>
          <w:b/>
          <w:color w:val="FF0000"/>
        </w:rPr>
      </w:pPr>
      <w:r w:rsidRPr="00DF4990">
        <w:rPr>
          <w:b/>
          <w:noProof/>
          <w:color w:val="FF0000"/>
          <w:lang w:eastAsia="en-GB"/>
        </w:rPr>
        <w:drawing>
          <wp:inline distT="0" distB="0" distL="0" distR="0" wp14:anchorId="7869B692" wp14:editId="1306671E">
            <wp:extent cx="1971675" cy="1009650"/>
            <wp:effectExtent l="0" t="0" r="9525" b="0"/>
            <wp:docPr id="3" name="Picture 3" descr="C:\Users\nqs62w\AppData\Local\Microsoft\Windows\Temporary Internet Files\Content.Outlook\1G1ZB5GY\Mark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qs62w\AppData\Local\Microsoft\Windows\Temporary Internet Files\Content.Outlook\1G1ZB5GY\Marks 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406A" w14:textId="18CE73EF" w:rsidR="001243E2" w:rsidRDefault="00DF4990" w:rsidP="00DF4990">
      <w:r>
        <w:t xml:space="preserve">Mark </w:t>
      </w:r>
      <w:proofErr w:type="spellStart"/>
      <w:r>
        <w:t>Nickson</w:t>
      </w:r>
      <w:proofErr w:type="spellEnd"/>
    </w:p>
    <w:p w14:paraId="6D134F19" w14:textId="65D326A7" w:rsidR="00DF4990" w:rsidRDefault="00DF4990" w:rsidP="00DF4990">
      <w:r>
        <w:t xml:space="preserve">Head of CFO </w:t>
      </w:r>
    </w:p>
    <w:p w14:paraId="39B07F6C" w14:textId="617E0D65" w:rsidR="00C42729" w:rsidRPr="00C42729" w:rsidRDefault="00367B5C" w:rsidP="00DF4990">
      <w:pPr>
        <w:rPr>
          <w:b/>
          <w:color w:val="FF0000"/>
        </w:rPr>
      </w:pPr>
      <w:r w:rsidRPr="00367B5C">
        <w:rPr>
          <w:b/>
          <w:color w:val="000000" w:themeColor="text1"/>
        </w:rPr>
        <w:t>25/06/2019</w:t>
      </w:r>
    </w:p>
    <w:p w14:paraId="716509D8" w14:textId="77777777" w:rsidR="00696FF8" w:rsidRPr="00446CB7" w:rsidRDefault="00696FF8" w:rsidP="00DF4990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277"/>
        <w:gridCol w:w="2551"/>
        <w:gridCol w:w="2126"/>
        <w:gridCol w:w="8850"/>
      </w:tblGrid>
      <w:tr w:rsidR="00110F44" w14:paraId="0FA79FED" w14:textId="77777777" w:rsidTr="00696FF8">
        <w:tc>
          <w:tcPr>
            <w:tcW w:w="1277" w:type="dxa"/>
            <w:shd w:val="clear" w:color="auto" w:fill="BDD6EE" w:themeFill="accent1" w:themeFillTint="66"/>
          </w:tcPr>
          <w:p w14:paraId="768CF347" w14:textId="77777777" w:rsidR="00110F44" w:rsidRPr="000056D0" w:rsidRDefault="00110F44" w:rsidP="00A90B9D">
            <w:pPr>
              <w:rPr>
                <w:b/>
              </w:rPr>
            </w:pPr>
            <w:r w:rsidRPr="000056D0">
              <w:rPr>
                <w:b/>
              </w:rPr>
              <w:t>Version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4F3570E" w14:textId="361B945F" w:rsidR="00110F44" w:rsidRPr="000056D0" w:rsidRDefault="00110F44" w:rsidP="00696FF8">
            <w:pPr>
              <w:rPr>
                <w:b/>
              </w:rPr>
            </w:pPr>
            <w:r>
              <w:rPr>
                <w:b/>
              </w:rPr>
              <w:t xml:space="preserve">Scheduled </w:t>
            </w:r>
            <w:r w:rsidRPr="000056D0">
              <w:rPr>
                <w:b/>
              </w:rPr>
              <w:t>Date for Review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65FA8AC" w14:textId="77777777" w:rsidR="00110F44" w:rsidRDefault="00110F44" w:rsidP="00A90B9D">
            <w:pPr>
              <w:rPr>
                <w:b/>
              </w:rPr>
            </w:pPr>
            <w:r>
              <w:rPr>
                <w:b/>
              </w:rPr>
              <w:t>Reviewed by;</w:t>
            </w:r>
          </w:p>
        </w:tc>
        <w:tc>
          <w:tcPr>
            <w:tcW w:w="8850" w:type="dxa"/>
            <w:shd w:val="clear" w:color="auto" w:fill="BDD6EE" w:themeFill="accent1" w:themeFillTint="66"/>
          </w:tcPr>
          <w:p w14:paraId="7ED6C099" w14:textId="77777777" w:rsidR="00110F44" w:rsidRDefault="00110F44" w:rsidP="00A90B9D">
            <w:pPr>
              <w:rPr>
                <w:b/>
              </w:rPr>
            </w:pPr>
            <w:r>
              <w:rPr>
                <w:b/>
              </w:rPr>
              <w:t>Summary of Changes</w:t>
            </w:r>
          </w:p>
        </w:tc>
      </w:tr>
      <w:tr w:rsidR="00110F44" w14:paraId="38738F77" w14:textId="77777777" w:rsidTr="00696FF8">
        <w:tc>
          <w:tcPr>
            <w:tcW w:w="1277" w:type="dxa"/>
          </w:tcPr>
          <w:p w14:paraId="474A86CC" w14:textId="323CC30A" w:rsidR="00110F44" w:rsidRPr="000056D0" w:rsidRDefault="00110F44" w:rsidP="00696FF8">
            <w:r>
              <w:t>Version 1.0</w:t>
            </w:r>
          </w:p>
        </w:tc>
        <w:tc>
          <w:tcPr>
            <w:tcW w:w="2551" w:type="dxa"/>
          </w:tcPr>
          <w:p w14:paraId="6230C922" w14:textId="77777777" w:rsidR="00110F44" w:rsidRPr="000056D0" w:rsidRDefault="00E6608D" w:rsidP="00A90B9D">
            <w:r>
              <w:t>11.04.2016</w:t>
            </w:r>
          </w:p>
        </w:tc>
        <w:tc>
          <w:tcPr>
            <w:tcW w:w="2126" w:type="dxa"/>
          </w:tcPr>
          <w:p w14:paraId="2EA7FF6E" w14:textId="77777777" w:rsidR="00110F44" w:rsidRPr="000056D0" w:rsidRDefault="00110F44" w:rsidP="00A90B9D">
            <w:r>
              <w:t xml:space="preserve">Kate North </w:t>
            </w:r>
          </w:p>
        </w:tc>
        <w:tc>
          <w:tcPr>
            <w:tcW w:w="8850" w:type="dxa"/>
          </w:tcPr>
          <w:p w14:paraId="34631D40" w14:textId="77777777" w:rsidR="002F6736" w:rsidRDefault="002F6736" w:rsidP="002F6736">
            <w:pPr>
              <w:pStyle w:val="ListParagraph"/>
              <w:numPr>
                <w:ilvl w:val="0"/>
                <w:numId w:val="27"/>
              </w:numPr>
            </w:pPr>
            <w:r>
              <w:t xml:space="preserve">Change from NOMS to HMPPS  (please note the official NOMS equality strategy remains as NOMS as opposed to HMPPS ) </w:t>
            </w:r>
          </w:p>
          <w:p w14:paraId="7DFEF114" w14:textId="6085AD3B" w:rsidR="00110F44" w:rsidRDefault="002F6736" w:rsidP="002F6736">
            <w:pPr>
              <w:pStyle w:val="ListParagraph"/>
              <w:numPr>
                <w:ilvl w:val="0"/>
                <w:numId w:val="27"/>
              </w:numPr>
            </w:pPr>
            <w:r>
              <w:t>Review of equality documentation to ensure any policy changes are updated.</w:t>
            </w:r>
          </w:p>
        </w:tc>
      </w:tr>
      <w:tr w:rsidR="00110F44" w14:paraId="4D4B8054" w14:textId="77777777" w:rsidTr="00696FF8">
        <w:tc>
          <w:tcPr>
            <w:tcW w:w="1277" w:type="dxa"/>
          </w:tcPr>
          <w:p w14:paraId="433B1904" w14:textId="77777777" w:rsidR="00110F44" w:rsidRDefault="00110F44" w:rsidP="00602E9F">
            <w:r w:rsidRPr="00602E9F">
              <w:t>Version 1.1</w:t>
            </w:r>
          </w:p>
          <w:p w14:paraId="4D3B87C5" w14:textId="77777777" w:rsidR="002F6736" w:rsidRDefault="002F6736" w:rsidP="00602E9F"/>
          <w:p w14:paraId="7FD46349" w14:textId="77777777" w:rsidR="002F6736" w:rsidRDefault="002F6736" w:rsidP="00602E9F"/>
          <w:p w14:paraId="11F1D5BE" w14:textId="77777777" w:rsidR="002F6736" w:rsidRDefault="002F6736" w:rsidP="00602E9F"/>
          <w:p w14:paraId="05A194FF" w14:textId="77777777" w:rsidR="002F6736" w:rsidRDefault="002F6736" w:rsidP="00602E9F"/>
          <w:p w14:paraId="4453A42B" w14:textId="77777777" w:rsidR="002F6736" w:rsidRPr="00602E9F" w:rsidRDefault="002F6736" w:rsidP="00602E9F"/>
        </w:tc>
        <w:tc>
          <w:tcPr>
            <w:tcW w:w="2551" w:type="dxa"/>
          </w:tcPr>
          <w:p w14:paraId="57CDDA97" w14:textId="77777777" w:rsidR="00110F44" w:rsidRDefault="00110F44" w:rsidP="00602E9F">
            <w:pPr>
              <w:tabs>
                <w:tab w:val="center" w:pos="1616"/>
              </w:tabs>
            </w:pPr>
            <w:r w:rsidRPr="00602E9F">
              <w:lastRenderedPageBreak/>
              <w:t>05.05.2017</w:t>
            </w:r>
          </w:p>
          <w:p w14:paraId="0F47ABF3" w14:textId="77777777" w:rsidR="00110F44" w:rsidRPr="00602E9F" w:rsidRDefault="00110F44" w:rsidP="00602E9F">
            <w:pPr>
              <w:tabs>
                <w:tab w:val="center" w:pos="1616"/>
              </w:tabs>
            </w:pPr>
          </w:p>
        </w:tc>
        <w:tc>
          <w:tcPr>
            <w:tcW w:w="2126" w:type="dxa"/>
          </w:tcPr>
          <w:p w14:paraId="4B9C3BA1" w14:textId="77777777" w:rsidR="00110F44" w:rsidRPr="00602E9F" w:rsidRDefault="00110F44" w:rsidP="00602E9F">
            <w:r w:rsidRPr="00602E9F">
              <w:t>Kate Dugdale</w:t>
            </w:r>
          </w:p>
        </w:tc>
        <w:tc>
          <w:tcPr>
            <w:tcW w:w="8850" w:type="dxa"/>
          </w:tcPr>
          <w:p w14:paraId="2B579918" w14:textId="77777777" w:rsidR="002F6736" w:rsidRDefault="002F6736" w:rsidP="002F6736">
            <w:pPr>
              <w:pStyle w:val="ListParagraph"/>
              <w:numPr>
                <w:ilvl w:val="0"/>
                <w:numId w:val="41"/>
              </w:numPr>
            </w:pPr>
            <w:r>
              <w:t>Policy endorsed by Head of CFO</w:t>
            </w:r>
          </w:p>
          <w:p w14:paraId="5A98E9F6" w14:textId="77777777" w:rsidR="002F6736" w:rsidRDefault="002F6736" w:rsidP="002F6736">
            <w:pPr>
              <w:pStyle w:val="ListParagraph"/>
              <w:numPr>
                <w:ilvl w:val="0"/>
                <w:numId w:val="41"/>
              </w:numPr>
            </w:pPr>
            <w:r>
              <w:t xml:space="preserve">All aspects of the implementation plan are assigned to relevant members of staff evidencing responsibility for each area of Equality </w:t>
            </w:r>
          </w:p>
          <w:p w14:paraId="37546935" w14:textId="77777777" w:rsidR="002F6736" w:rsidRPr="005F0209" w:rsidRDefault="002F6736" w:rsidP="002F6736">
            <w:pPr>
              <w:pStyle w:val="ListParagraph"/>
              <w:numPr>
                <w:ilvl w:val="0"/>
                <w:numId w:val="41"/>
              </w:numPr>
            </w:pPr>
            <w:r w:rsidRPr="005F0209">
              <w:lastRenderedPageBreak/>
              <w:t xml:space="preserve">CFO Engagement Manager named as an Equality Champion. </w:t>
            </w:r>
          </w:p>
          <w:p w14:paraId="3C54E887" w14:textId="77777777" w:rsidR="002F6736" w:rsidRPr="005F0209" w:rsidRDefault="002F6736" w:rsidP="002F6736">
            <w:pPr>
              <w:pStyle w:val="ListParagraph"/>
              <w:numPr>
                <w:ilvl w:val="0"/>
                <w:numId w:val="41"/>
              </w:numPr>
            </w:pPr>
            <w:r w:rsidRPr="005F0209">
              <w:t>Sub-Contract</w:t>
            </w:r>
            <w:r>
              <w:t>ors policies to be gathered by P</w:t>
            </w:r>
            <w:r w:rsidRPr="005F0209">
              <w:t>rime Providers</w:t>
            </w:r>
            <w:r>
              <w:t xml:space="preserve"> in order for copies to be available upon request</w:t>
            </w:r>
            <w:r w:rsidRPr="005F0209">
              <w:t xml:space="preserve">. Sub-Contractor list to be included as an attachment to the HMPPS Policy. </w:t>
            </w:r>
          </w:p>
          <w:p w14:paraId="20694774" w14:textId="77777777" w:rsidR="002F6736" w:rsidRPr="005F0209" w:rsidRDefault="002F6736" w:rsidP="002F6736">
            <w:pPr>
              <w:pStyle w:val="ListParagraph"/>
              <w:numPr>
                <w:ilvl w:val="0"/>
                <w:numId w:val="41"/>
              </w:numPr>
            </w:pPr>
            <w:r w:rsidRPr="005F0209">
              <w:t xml:space="preserve">Information added to ensure staff have equality objectives in personal appraisals. </w:t>
            </w:r>
          </w:p>
          <w:p w14:paraId="01E700C4" w14:textId="77777777" w:rsidR="002F6736" w:rsidRDefault="002F6736" w:rsidP="002F6736">
            <w:pPr>
              <w:pStyle w:val="ListParagraph"/>
              <w:numPr>
                <w:ilvl w:val="0"/>
                <w:numId w:val="41"/>
              </w:numPr>
            </w:pPr>
            <w:r>
              <w:t xml:space="preserve">Added information regarding how participants will be informed of anti-harassment policy </w:t>
            </w:r>
          </w:p>
          <w:p w14:paraId="2F39890D" w14:textId="16150798" w:rsidR="00110F44" w:rsidRPr="00602E9F" w:rsidRDefault="002F6736" w:rsidP="002F6736">
            <w:pPr>
              <w:pStyle w:val="ListParagraph"/>
              <w:numPr>
                <w:ilvl w:val="0"/>
                <w:numId w:val="41"/>
              </w:numPr>
            </w:pPr>
            <w:r>
              <w:t>Annual updated policy reviewed by SMT &amp; Head of HMPPS CFO. Policy uploaded to CFO website and Providers informed.</w:t>
            </w:r>
          </w:p>
        </w:tc>
      </w:tr>
      <w:tr w:rsidR="00E6608D" w14:paraId="237447F4" w14:textId="77777777" w:rsidTr="00696FF8">
        <w:tc>
          <w:tcPr>
            <w:tcW w:w="1277" w:type="dxa"/>
          </w:tcPr>
          <w:p w14:paraId="6486F0BA" w14:textId="77777777" w:rsidR="00E6608D" w:rsidRPr="00602E9F" w:rsidRDefault="00E6608D" w:rsidP="00602E9F">
            <w:r>
              <w:lastRenderedPageBreak/>
              <w:t>Version 1.2</w:t>
            </w:r>
          </w:p>
        </w:tc>
        <w:tc>
          <w:tcPr>
            <w:tcW w:w="2551" w:type="dxa"/>
          </w:tcPr>
          <w:p w14:paraId="27CE0416" w14:textId="31160EBD" w:rsidR="00E6608D" w:rsidRPr="00602E9F" w:rsidRDefault="002012D4" w:rsidP="002F6736">
            <w:pPr>
              <w:tabs>
                <w:tab w:val="center" w:pos="1616"/>
              </w:tabs>
            </w:pPr>
            <w:r>
              <w:t>08.05.2018</w:t>
            </w:r>
          </w:p>
        </w:tc>
        <w:tc>
          <w:tcPr>
            <w:tcW w:w="2126" w:type="dxa"/>
          </w:tcPr>
          <w:p w14:paraId="257F84C7" w14:textId="77777777" w:rsidR="00E6608D" w:rsidRPr="00602E9F" w:rsidRDefault="00E6608D" w:rsidP="00602E9F">
            <w:r>
              <w:t xml:space="preserve">Kate Dugdale </w:t>
            </w:r>
          </w:p>
        </w:tc>
        <w:tc>
          <w:tcPr>
            <w:tcW w:w="8850" w:type="dxa"/>
          </w:tcPr>
          <w:p w14:paraId="712E976E" w14:textId="3668F64E" w:rsidR="0078741C" w:rsidRDefault="002F6736" w:rsidP="00C42729">
            <w:r>
              <w:t xml:space="preserve">       </w:t>
            </w:r>
            <w:r w:rsidR="00C42729">
              <w:t>No Changes required</w:t>
            </w:r>
            <w:r>
              <w:t xml:space="preserve"> </w:t>
            </w:r>
            <w:r w:rsidR="00C42729">
              <w:t>to policy, implementation plan updated.</w:t>
            </w:r>
          </w:p>
        </w:tc>
      </w:tr>
      <w:tr w:rsidR="00D64F6F" w14:paraId="07855D37" w14:textId="77777777" w:rsidTr="00696FF8">
        <w:tc>
          <w:tcPr>
            <w:tcW w:w="1277" w:type="dxa"/>
          </w:tcPr>
          <w:p w14:paraId="4556EC0B" w14:textId="29064AB1" w:rsidR="00D64F6F" w:rsidRDefault="00A02780" w:rsidP="00602E9F">
            <w:r>
              <w:t>Version 1.3</w:t>
            </w:r>
          </w:p>
        </w:tc>
        <w:tc>
          <w:tcPr>
            <w:tcW w:w="2551" w:type="dxa"/>
          </w:tcPr>
          <w:p w14:paraId="32AA2C7A" w14:textId="069E319E" w:rsidR="00D64F6F" w:rsidRDefault="00C42729" w:rsidP="002F6736">
            <w:pPr>
              <w:tabs>
                <w:tab w:val="center" w:pos="1616"/>
              </w:tabs>
            </w:pPr>
            <w:r>
              <w:t>07.05.2019</w:t>
            </w:r>
          </w:p>
        </w:tc>
        <w:tc>
          <w:tcPr>
            <w:tcW w:w="2126" w:type="dxa"/>
          </w:tcPr>
          <w:p w14:paraId="45790CED" w14:textId="716C41B0" w:rsidR="00D64F6F" w:rsidRDefault="00A02780" w:rsidP="00602E9F">
            <w:r>
              <w:t>Kate Dugdale</w:t>
            </w:r>
          </w:p>
        </w:tc>
        <w:tc>
          <w:tcPr>
            <w:tcW w:w="8850" w:type="dxa"/>
          </w:tcPr>
          <w:p w14:paraId="4285600F" w14:textId="77777777" w:rsidR="00D64F6F" w:rsidRDefault="00A02780" w:rsidP="00A02780">
            <w:pPr>
              <w:pStyle w:val="ListParagraph"/>
              <w:numPr>
                <w:ilvl w:val="0"/>
                <w:numId w:val="42"/>
              </w:numPr>
            </w:pPr>
            <w:r>
              <w:t>Updated legislation to reflect the new ‘HMPPS</w:t>
            </w:r>
            <w:r w:rsidR="00F66A33">
              <w:t xml:space="preserve"> Strategy’ </w:t>
            </w:r>
          </w:p>
          <w:p w14:paraId="73BDE2ED" w14:textId="77777777" w:rsidR="00F66A33" w:rsidRDefault="00C42729" w:rsidP="00A02780">
            <w:pPr>
              <w:pStyle w:val="ListParagraph"/>
              <w:numPr>
                <w:ilvl w:val="0"/>
                <w:numId w:val="42"/>
              </w:numPr>
            </w:pPr>
            <w:r>
              <w:t xml:space="preserve">Updated section on protected characteristics in relation to HMPPS Strategy </w:t>
            </w:r>
          </w:p>
          <w:p w14:paraId="4FF1BA50" w14:textId="56B7A112" w:rsidR="00C42729" w:rsidRDefault="00C42729" w:rsidP="00A02780">
            <w:pPr>
              <w:pStyle w:val="ListParagraph"/>
              <w:numPr>
                <w:ilvl w:val="0"/>
                <w:numId w:val="42"/>
              </w:numPr>
            </w:pPr>
            <w:r>
              <w:t>Reissued to Staff and formed part of the staff handbook</w:t>
            </w:r>
          </w:p>
        </w:tc>
      </w:tr>
    </w:tbl>
    <w:p w14:paraId="6316F2A8" w14:textId="77777777" w:rsidR="0078741C" w:rsidRDefault="0078741C" w:rsidP="009E04F6">
      <w:pPr>
        <w:rPr>
          <w:b/>
          <w:u w:val="single"/>
        </w:rPr>
      </w:pPr>
    </w:p>
    <w:p w14:paraId="52C9AC83" w14:textId="77777777" w:rsidR="009E04F6" w:rsidRDefault="009E04F6" w:rsidP="009E04F6">
      <w:pPr>
        <w:rPr>
          <w:b/>
          <w:u w:val="single"/>
        </w:rPr>
      </w:pPr>
    </w:p>
    <w:p w14:paraId="5F0FBBF6" w14:textId="77777777" w:rsidR="00D62CBE" w:rsidRDefault="00D62CBE" w:rsidP="00F012D1">
      <w:pPr>
        <w:jc w:val="center"/>
        <w:rPr>
          <w:b/>
          <w:u w:val="single"/>
        </w:rPr>
      </w:pPr>
    </w:p>
    <w:p w14:paraId="79AAC0A7" w14:textId="77777777" w:rsidR="00D62CBE" w:rsidRDefault="00D62CBE" w:rsidP="00F012D1">
      <w:pPr>
        <w:jc w:val="center"/>
        <w:rPr>
          <w:b/>
          <w:u w:val="single"/>
        </w:rPr>
      </w:pPr>
    </w:p>
    <w:p w14:paraId="26ADC347" w14:textId="77777777" w:rsidR="00D62CBE" w:rsidRDefault="00D62CBE" w:rsidP="00F012D1">
      <w:pPr>
        <w:jc w:val="center"/>
        <w:rPr>
          <w:b/>
          <w:u w:val="single"/>
        </w:rPr>
      </w:pPr>
    </w:p>
    <w:p w14:paraId="732930F7" w14:textId="77777777" w:rsidR="00D62CBE" w:rsidRDefault="00D62CBE" w:rsidP="00F012D1">
      <w:pPr>
        <w:jc w:val="center"/>
        <w:rPr>
          <w:b/>
          <w:u w:val="single"/>
        </w:rPr>
      </w:pPr>
      <w:bookmarkStart w:id="0" w:name="_GoBack"/>
      <w:bookmarkEnd w:id="0"/>
    </w:p>
    <w:p w14:paraId="65567FEB" w14:textId="77777777" w:rsidR="00D62CBE" w:rsidRDefault="00D62CBE" w:rsidP="00446CB7">
      <w:pPr>
        <w:rPr>
          <w:b/>
          <w:u w:val="single"/>
        </w:rPr>
      </w:pPr>
    </w:p>
    <w:sectPr w:rsidR="00D62CBE" w:rsidSect="00EB091A">
      <w:headerReference w:type="default" r:id="rId9"/>
      <w:footerReference w:type="default" r:id="rId10"/>
      <w:pgSz w:w="16838" w:h="11906" w:orient="landscape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F3C17" w14:textId="77777777" w:rsidR="000854AE" w:rsidRDefault="000854AE" w:rsidP="003F20BB">
      <w:pPr>
        <w:spacing w:after="0" w:line="240" w:lineRule="auto"/>
      </w:pPr>
      <w:r>
        <w:separator/>
      </w:r>
    </w:p>
  </w:endnote>
  <w:endnote w:type="continuationSeparator" w:id="0">
    <w:p w14:paraId="4D5BE8DF" w14:textId="77777777" w:rsidR="000854AE" w:rsidRDefault="000854AE" w:rsidP="003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0464B" w14:textId="6BD0F099" w:rsidR="000854AE" w:rsidRDefault="00AD68D2">
    <w:pPr>
      <w:pStyle w:val="Footer"/>
    </w:pPr>
    <w:r>
      <w:t>CFO Equality Policy 2015-2023</w:t>
    </w:r>
    <w:r w:rsidR="000854AE">
      <w:t xml:space="preserve">                                                                                                                                                                                             Page </w:t>
    </w:r>
    <w:r w:rsidR="000854AE">
      <w:rPr>
        <w:b/>
        <w:bCs/>
      </w:rPr>
      <w:fldChar w:fldCharType="begin"/>
    </w:r>
    <w:r w:rsidR="000854AE">
      <w:rPr>
        <w:b/>
        <w:bCs/>
      </w:rPr>
      <w:instrText xml:space="preserve"> PAGE  \* Arabic  \* MERGEFORMAT </w:instrText>
    </w:r>
    <w:r w:rsidR="000854AE">
      <w:rPr>
        <w:b/>
        <w:bCs/>
      </w:rPr>
      <w:fldChar w:fldCharType="separate"/>
    </w:r>
    <w:r w:rsidR="00367B5C">
      <w:rPr>
        <w:b/>
        <w:bCs/>
        <w:noProof/>
      </w:rPr>
      <w:t>6</w:t>
    </w:r>
    <w:r w:rsidR="000854AE">
      <w:rPr>
        <w:b/>
        <w:bCs/>
      </w:rPr>
      <w:fldChar w:fldCharType="end"/>
    </w:r>
    <w:r w:rsidR="000854AE">
      <w:t xml:space="preserve"> of </w:t>
    </w:r>
    <w:r w:rsidR="000854AE">
      <w:rPr>
        <w:b/>
        <w:bCs/>
      </w:rPr>
      <w:fldChar w:fldCharType="begin"/>
    </w:r>
    <w:r w:rsidR="000854AE">
      <w:rPr>
        <w:b/>
        <w:bCs/>
      </w:rPr>
      <w:instrText xml:space="preserve"> NUMPAGES  \* Arabic  \* MERGEFORMAT </w:instrText>
    </w:r>
    <w:r w:rsidR="000854AE">
      <w:rPr>
        <w:b/>
        <w:bCs/>
      </w:rPr>
      <w:fldChar w:fldCharType="separate"/>
    </w:r>
    <w:r w:rsidR="00367B5C">
      <w:rPr>
        <w:b/>
        <w:bCs/>
        <w:noProof/>
      </w:rPr>
      <w:t>6</w:t>
    </w:r>
    <w:r w:rsidR="000854AE">
      <w:rPr>
        <w:b/>
        <w:bCs/>
      </w:rPr>
      <w:fldChar w:fldCharType="end"/>
    </w:r>
  </w:p>
  <w:p w14:paraId="2CF59AE4" w14:textId="23A37789" w:rsidR="000854AE" w:rsidRDefault="000854AE">
    <w:pPr>
      <w:pStyle w:val="Footer"/>
    </w:pPr>
    <w:r>
      <w:t xml:space="preserve">                                                                                                                         V1.</w:t>
    </w:r>
    <w:r w:rsidR="00367B5C">
      <w:t>3</w:t>
    </w:r>
    <w:r>
      <w:t xml:space="preserve">                                                                                                                  Issued: </w:t>
    </w:r>
    <w:r w:rsidR="00367B5C">
      <w:t>25</w:t>
    </w:r>
    <w:r w:rsidR="00DF4899">
      <w:t>/</w:t>
    </w:r>
    <w:r w:rsidR="00367B5C">
      <w:t>06</w:t>
    </w:r>
    <w:r>
      <w:t>/201</w:t>
    </w:r>
    <w:r w:rsidR="00367B5C">
      <w:t>9</w:t>
    </w:r>
    <w: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51B8" w14:textId="77777777" w:rsidR="000854AE" w:rsidRDefault="000854AE" w:rsidP="003F20BB">
      <w:pPr>
        <w:spacing w:after="0" w:line="240" w:lineRule="auto"/>
      </w:pPr>
      <w:r>
        <w:separator/>
      </w:r>
    </w:p>
  </w:footnote>
  <w:footnote w:type="continuationSeparator" w:id="0">
    <w:p w14:paraId="12CDAF82" w14:textId="77777777" w:rsidR="000854AE" w:rsidRDefault="000854AE" w:rsidP="003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A0A4" w14:textId="77777777" w:rsidR="000854AE" w:rsidRDefault="000854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2B6D4359" wp14:editId="19BD6FA5">
          <wp:simplePos x="0" y="0"/>
          <wp:positionH relativeFrom="margin">
            <wp:posOffset>266700</wp:posOffset>
          </wp:positionH>
          <wp:positionV relativeFrom="page">
            <wp:posOffset>257175</wp:posOffset>
          </wp:positionV>
          <wp:extent cx="1247775" cy="528485"/>
          <wp:effectExtent l="0" t="0" r="0" b="5080"/>
          <wp:wrapNone/>
          <wp:docPr id="1" name="Picture 1" descr="HM Prison &amp; Probation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 Prison &amp; Probation Serv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218" cy="540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E8789F">
      <w:rPr>
        <w:noProof/>
        <w:sz w:val="24"/>
        <w:szCs w:val="24"/>
        <w:lang w:eastAsia="en-GB"/>
      </w:rPr>
      <w:drawing>
        <wp:inline distT="0" distB="0" distL="0" distR="0" wp14:anchorId="1370DD45" wp14:editId="6BE548C0">
          <wp:extent cx="1417768" cy="444554"/>
          <wp:effectExtent l="0" t="0" r="0" b="0"/>
          <wp:docPr id="2" name="Picture 2" descr="P:\CFO 3 - All Staff\Logos\ESF R3 Logo -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FO 3 - All Staff\Logos\ESF R3 Logo - landsca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354" cy="44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19F"/>
    <w:multiLevelType w:val="hybridMultilevel"/>
    <w:tmpl w:val="D236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5F9"/>
    <w:multiLevelType w:val="hybridMultilevel"/>
    <w:tmpl w:val="451E01D2"/>
    <w:lvl w:ilvl="0" w:tplc="D1DE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4214"/>
    <w:multiLevelType w:val="hybridMultilevel"/>
    <w:tmpl w:val="93C6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085B"/>
    <w:multiLevelType w:val="hybridMultilevel"/>
    <w:tmpl w:val="41B0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1107"/>
    <w:multiLevelType w:val="hybridMultilevel"/>
    <w:tmpl w:val="D18A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3E2"/>
    <w:multiLevelType w:val="hybridMultilevel"/>
    <w:tmpl w:val="34E0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0108"/>
    <w:multiLevelType w:val="hybridMultilevel"/>
    <w:tmpl w:val="36E2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31F"/>
    <w:multiLevelType w:val="hybridMultilevel"/>
    <w:tmpl w:val="06DE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00EC"/>
    <w:multiLevelType w:val="hybridMultilevel"/>
    <w:tmpl w:val="2596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F05"/>
    <w:multiLevelType w:val="hybridMultilevel"/>
    <w:tmpl w:val="0E08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367"/>
    <w:multiLevelType w:val="hybridMultilevel"/>
    <w:tmpl w:val="7F6A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7C14"/>
    <w:multiLevelType w:val="hybridMultilevel"/>
    <w:tmpl w:val="B7A6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080"/>
    <w:multiLevelType w:val="hybridMultilevel"/>
    <w:tmpl w:val="0FDC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4471"/>
    <w:multiLevelType w:val="hybridMultilevel"/>
    <w:tmpl w:val="521C8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7434"/>
    <w:multiLevelType w:val="hybridMultilevel"/>
    <w:tmpl w:val="79C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6C26"/>
    <w:multiLevelType w:val="hybridMultilevel"/>
    <w:tmpl w:val="1C18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273"/>
    <w:multiLevelType w:val="hybridMultilevel"/>
    <w:tmpl w:val="D654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690A"/>
    <w:multiLevelType w:val="hybridMultilevel"/>
    <w:tmpl w:val="DE2E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86D34"/>
    <w:multiLevelType w:val="hybridMultilevel"/>
    <w:tmpl w:val="863A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8685E"/>
    <w:multiLevelType w:val="hybridMultilevel"/>
    <w:tmpl w:val="D2D2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2279E"/>
    <w:multiLevelType w:val="hybridMultilevel"/>
    <w:tmpl w:val="3DBA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8570D"/>
    <w:multiLevelType w:val="hybridMultilevel"/>
    <w:tmpl w:val="47B8C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083"/>
    <w:multiLevelType w:val="hybridMultilevel"/>
    <w:tmpl w:val="44C4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52C5D"/>
    <w:multiLevelType w:val="hybridMultilevel"/>
    <w:tmpl w:val="48FE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0F11"/>
    <w:multiLevelType w:val="hybridMultilevel"/>
    <w:tmpl w:val="8442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25AC"/>
    <w:multiLevelType w:val="hybridMultilevel"/>
    <w:tmpl w:val="E22E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E0D31"/>
    <w:multiLevelType w:val="hybridMultilevel"/>
    <w:tmpl w:val="B14A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70973"/>
    <w:multiLevelType w:val="hybridMultilevel"/>
    <w:tmpl w:val="B8203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B7815"/>
    <w:multiLevelType w:val="hybridMultilevel"/>
    <w:tmpl w:val="B6C8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71BD7"/>
    <w:multiLevelType w:val="hybridMultilevel"/>
    <w:tmpl w:val="73501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2D1"/>
    <w:multiLevelType w:val="hybridMultilevel"/>
    <w:tmpl w:val="6598FD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F4B1AAC"/>
    <w:multiLevelType w:val="hybridMultilevel"/>
    <w:tmpl w:val="D3A0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22C2F"/>
    <w:multiLevelType w:val="hybridMultilevel"/>
    <w:tmpl w:val="A1BC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679"/>
    <w:multiLevelType w:val="hybridMultilevel"/>
    <w:tmpl w:val="B346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B22CD"/>
    <w:multiLevelType w:val="hybridMultilevel"/>
    <w:tmpl w:val="9CD4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77BAF"/>
    <w:multiLevelType w:val="hybridMultilevel"/>
    <w:tmpl w:val="694E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D1967"/>
    <w:multiLevelType w:val="hybridMultilevel"/>
    <w:tmpl w:val="4E6885F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3AA2353"/>
    <w:multiLevelType w:val="hybridMultilevel"/>
    <w:tmpl w:val="E5AC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176D3"/>
    <w:multiLevelType w:val="hybridMultilevel"/>
    <w:tmpl w:val="0D7C8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975E7C"/>
    <w:multiLevelType w:val="hybridMultilevel"/>
    <w:tmpl w:val="22FC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44D"/>
    <w:multiLevelType w:val="hybridMultilevel"/>
    <w:tmpl w:val="B596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A5282"/>
    <w:multiLevelType w:val="hybridMultilevel"/>
    <w:tmpl w:val="694887D0"/>
    <w:lvl w:ilvl="0" w:tplc="B20869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33"/>
  </w:num>
  <w:num w:numId="4">
    <w:abstractNumId w:val="10"/>
  </w:num>
  <w:num w:numId="5">
    <w:abstractNumId w:val="40"/>
  </w:num>
  <w:num w:numId="6">
    <w:abstractNumId w:val="12"/>
  </w:num>
  <w:num w:numId="7">
    <w:abstractNumId w:val="19"/>
  </w:num>
  <w:num w:numId="8">
    <w:abstractNumId w:val="13"/>
  </w:num>
  <w:num w:numId="9">
    <w:abstractNumId w:val="0"/>
  </w:num>
  <w:num w:numId="10">
    <w:abstractNumId w:val="26"/>
  </w:num>
  <w:num w:numId="11">
    <w:abstractNumId w:val="8"/>
  </w:num>
  <w:num w:numId="12">
    <w:abstractNumId w:val="15"/>
  </w:num>
  <w:num w:numId="13">
    <w:abstractNumId w:val="32"/>
  </w:num>
  <w:num w:numId="14">
    <w:abstractNumId w:val="9"/>
  </w:num>
  <w:num w:numId="15">
    <w:abstractNumId w:val="3"/>
  </w:num>
  <w:num w:numId="16">
    <w:abstractNumId w:val="24"/>
  </w:num>
  <w:num w:numId="17">
    <w:abstractNumId w:val="23"/>
  </w:num>
  <w:num w:numId="18">
    <w:abstractNumId w:val="11"/>
  </w:num>
  <w:num w:numId="19">
    <w:abstractNumId w:val="16"/>
  </w:num>
  <w:num w:numId="20">
    <w:abstractNumId w:val="25"/>
  </w:num>
  <w:num w:numId="21">
    <w:abstractNumId w:val="17"/>
  </w:num>
  <w:num w:numId="22">
    <w:abstractNumId w:val="29"/>
  </w:num>
  <w:num w:numId="23">
    <w:abstractNumId w:val="2"/>
  </w:num>
  <w:num w:numId="24">
    <w:abstractNumId w:val="30"/>
  </w:num>
  <w:num w:numId="25">
    <w:abstractNumId w:val="37"/>
  </w:num>
  <w:num w:numId="26">
    <w:abstractNumId w:val="22"/>
  </w:num>
  <w:num w:numId="27">
    <w:abstractNumId w:val="41"/>
  </w:num>
  <w:num w:numId="28">
    <w:abstractNumId w:val="27"/>
  </w:num>
  <w:num w:numId="29">
    <w:abstractNumId w:val="20"/>
  </w:num>
  <w:num w:numId="30">
    <w:abstractNumId w:val="5"/>
  </w:num>
  <w:num w:numId="31">
    <w:abstractNumId w:val="4"/>
  </w:num>
  <w:num w:numId="32">
    <w:abstractNumId w:val="35"/>
  </w:num>
  <w:num w:numId="33">
    <w:abstractNumId w:val="6"/>
  </w:num>
  <w:num w:numId="34">
    <w:abstractNumId w:val="39"/>
  </w:num>
  <w:num w:numId="35">
    <w:abstractNumId w:val="18"/>
  </w:num>
  <w:num w:numId="36">
    <w:abstractNumId w:val="28"/>
  </w:num>
  <w:num w:numId="37">
    <w:abstractNumId w:val="38"/>
  </w:num>
  <w:num w:numId="38">
    <w:abstractNumId w:val="14"/>
  </w:num>
  <w:num w:numId="39">
    <w:abstractNumId w:val="7"/>
  </w:num>
  <w:num w:numId="40">
    <w:abstractNumId w:val="34"/>
  </w:num>
  <w:num w:numId="41">
    <w:abstractNumId w:val="1"/>
  </w:num>
  <w:num w:numId="4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C3"/>
    <w:rsid w:val="000021AC"/>
    <w:rsid w:val="000023FD"/>
    <w:rsid w:val="000056D0"/>
    <w:rsid w:val="0002520D"/>
    <w:rsid w:val="00033850"/>
    <w:rsid w:val="00045360"/>
    <w:rsid w:val="0004672E"/>
    <w:rsid w:val="000570B5"/>
    <w:rsid w:val="000741AA"/>
    <w:rsid w:val="000854AE"/>
    <w:rsid w:val="000901F0"/>
    <w:rsid w:val="000A513C"/>
    <w:rsid w:val="000C3DAF"/>
    <w:rsid w:val="000D331E"/>
    <w:rsid w:val="000E3EC7"/>
    <w:rsid w:val="000F4FD5"/>
    <w:rsid w:val="00110F44"/>
    <w:rsid w:val="00121D3F"/>
    <w:rsid w:val="001243E2"/>
    <w:rsid w:val="00133D49"/>
    <w:rsid w:val="00141FF2"/>
    <w:rsid w:val="00160AF6"/>
    <w:rsid w:val="00161AA5"/>
    <w:rsid w:val="0016362E"/>
    <w:rsid w:val="00166F1F"/>
    <w:rsid w:val="00174AD9"/>
    <w:rsid w:val="0017561D"/>
    <w:rsid w:val="0018183F"/>
    <w:rsid w:val="00181EB3"/>
    <w:rsid w:val="00184139"/>
    <w:rsid w:val="001A09DB"/>
    <w:rsid w:val="001B610B"/>
    <w:rsid w:val="001B6E57"/>
    <w:rsid w:val="001C0A0D"/>
    <w:rsid w:val="001C6B31"/>
    <w:rsid w:val="001D0F07"/>
    <w:rsid w:val="001F08F7"/>
    <w:rsid w:val="002012D4"/>
    <w:rsid w:val="00217608"/>
    <w:rsid w:val="002221A8"/>
    <w:rsid w:val="00242667"/>
    <w:rsid w:val="002575DF"/>
    <w:rsid w:val="0026601C"/>
    <w:rsid w:val="0028230F"/>
    <w:rsid w:val="00282F9C"/>
    <w:rsid w:val="00283BEA"/>
    <w:rsid w:val="00286631"/>
    <w:rsid w:val="00287614"/>
    <w:rsid w:val="002939C2"/>
    <w:rsid w:val="002E28A3"/>
    <w:rsid w:val="002E2F3D"/>
    <w:rsid w:val="002F60C7"/>
    <w:rsid w:val="002F6736"/>
    <w:rsid w:val="002F6762"/>
    <w:rsid w:val="00300FEC"/>
    <w:rsid w:val="003073B8"/>
    <w:rsid w:val="0031067E"/>
    <w:rsid w:val="00314B43"/>
    <w:rsid w:val="003178B3"/>
    <w:rsid w:val="00322CEF"/>
    <w:rsid w:val="003450A0"/>
    <w:rsid w:val="00357788"/>
    <w:rsid w:val="003639DE"/>
    <w:rsid w:val="00366E72"/>
    <w:rsid w:val="00367B5C"/>
    <w:rsid w:val="00372EE6"/>
    <w:rsid w:val="00373083"/>
    <w:rsid w:val="00375FE1"/>
    <w:rsid w:val="00392450"/>
    <w:rsid w:val="00394DD3"/>
    <w:rsid w:val="003A1AE8"/>
    <w:rsid w:val="003A749B"/>
    <w:rsid w:val="003B7D3C"/>
    <w:rsid w:val="003F20BB"/>
    <w:rsid w:val="003F75F2"/>
    <w:rsid w:val="0041696A"/>
    <w:rsid w:val="00417485"/>
    <w:rsid w:val="0042086B"/>
    <w:rsid w:val="00421709"/>
    <w:rsid w:val="00431A88"/>
    <w:rsid w:val="00433276"/>
    <w:rsid w:val="00437054"/>
    <w:rsid w:val="004377F3"/>
    <w:rsid w:val="00446CB7"/>
    <w:rsid w:val="00453102"/>
    <w:rsid w:val="0046501B"/>
    <w:rsid w:val="00467491"/>
    <w:rsid w:val="00474723"/>
    <w:rsid w:val="00477993"/>
    <w:rsid w:val="0048106D"/>
    <w:rsid w:val="00493F4B"/>
    <w:rsid w:val="0049543A"/>
    <w:rsid w:val="00496172"/>
    <w:rsid w:val="004961A2"/>
    <w:rsid w:val="004A0E4E"/>
    <w:rsid w:val="004B141E"/>
    <w:rsid w:val="004B65EB"/>
    <w:rsid w:val="004C3BBA"/>
    <w:rsid w:val="004D1E1D"/>
    <w:rsid w:val="004D49D1"/>
    <w:rsid w:val="004F5A5A"/>
    <w:rsid w:val="0050421A"/>
    <w:rsid w:val="0051789E"/>
    <w:rsid w:val="00517BB0"/>
    <w:rsid w:val="0053772B"/>
    <w:rsid w:val="005526CA"/>
    <w:rsid w:val="00570C66"/>
    <w:rsid w:val="00581822"/>
    <w:rsid w:val="0059193B"/>
    <w:rsid w:val="005B28F3"/>
    <w:rsid w:val="005B29D8"/>
    <w:rsid w:val="005B5C76"/>
    <w:rsid w:val="005C508C"/>
    <w:rsid w:val="005E0821"/>
    <w:rsid w:val="005E3DC0"/>
    <w:rsid w:val="005E51FF"/>
    <w:rsid w:val="005F0209"/>
    <w:rsid w:val="00601CA3"/>
    <w:rsid w:val="00602E9F"/>
    <w:rsid w:val="00603DC0"/>
    <w:rsid w:val="0061049B"/>
    <w:rsid w:val="00617C96"/>
    <w:rsid w:val="00620A43"/>
    <w:rsid w:val="00641D33"/>
    <w:rsid w:val="0064639A"/>
    <w:rsid w:val="00661002"/>
    <w:rsid w:val="0066215E"/>
    <w:rsid w:val="006733EA"/>
    <w:rsid w:val="00674636"/>
    <w:rsid w:val="00680F06"/>
    <w:rsid w:val="00695A07"/>
    <w:rsid w:val="00696FF8"/>
    <w:rsid w:val="006A3656"/>
    <w:rsid w:val="006B1FEA"/>
    <w:rsid w:val="006B6DBB"/>
    <w:rsid w:val="006C21B1"/>
    <w:rsid w:val="006E4EAC"/>
    <w:rsid w:val="00744D11"/>
    <w:rsid w:val="00752ECD"/>
    <w:rsid w:val="00756BBF"/>
    <w:rsid w:val="00760B71"/>
    <w:rsid w:val="00765789"/>
    <w:rsid w:val="00765C26"/>
    <w:rsid w:val="00773DEA"/>
    <w:rsid w:val="00776CEB"/>
    <w:rsid w:val="0078177C"/>
    <w:rsid w:val="007818C3"/>
    <w:rsid w:val="00782D6D"/>
    <w:rsid w:val="0078741C"/>
    <w:rsid w:val="00790D77"/>
    <w:rsid w:val="007915DE"/>
    <w:rsid w:val="007B49E6"/>
    <w:rsid w:val="007B72C5"/>
    <w:rsid w:val="007C29E8"/>
    <w:rsid w:val="007D1DBB"/>
    <w:rsid w:val="007E03A4"/>
    <w:rsid w:val="007F3930"/>
    <w:rsid w:val="007F5CD5"/>
    <w:rsid w:val="007F6E78"/>
    <w:rsid w:val="00800B10"/>
    <w:rsid w:val="00803BC3"/>
    <w:rsid w:val="008052FF"/>
    <w:rsid w:val="0080774A"/>
    <w:rsid w:val="00812623"/>
    <w:rsid w:val="00815675"/>
    <w:rsid w:val="008211F8"/>
    <w:rsid w:val="00851CBD"/>
    <w:rsid w:val="00863D5F"/>
    <w:rsid w:val="008744F1"/>
    <w:rsid w:val="00885A28"/>
    <w:rsid w:val="008A17FB"/>
    <w:rsid w:val="008B5E4D"/>
    <w:rsid w:val="008B78F4"/>
    <w:rsid w:val="008C4BA0"/>
    <w:rsid w:val="008D391B"/>
    <w:rsid w:val="008E50F9"/>
    <w:rsid w:val="008F2509"/>
    <w:rsid w:val="008F6D76"/>
    <w:rsid w:val="0091390B"/>
    <w:rsid w:val="00930AA1"/>
    <w:rsid w:val="00934426"/>
    <w:rsid w:val="00940F2A"/>
    <w:rsid w:val="0095331D"/>
    <w:rsid w:val="00960F39"/>
    <w:rsid w:val="0097461E"/>
    <w:rsid w:val="00983010"/>
    <w:rsid w:val="00985CB7"/>
    <w:rsid w:val="0099108D"/>
    <w:rsid w:val="009B182A"/>
    <w:rsid w:val="009C3933"/>
    <w:rsid w:val="009E04F6"/>
    <w:rsid w:val="009F1581"/>
    <w:rsid w:val="00A02780"/>
    <w:rsid w:val="00A04322"/>
    <w:rsid w:val="00A070F2"/>
    <w:rsid w:val="00A2642F"/>
    <w:rsid w:val="00A270A0"/>
    <w:rsid w:val="00A4276F"/>
    <w:rsid w:val="00A52E9D"/>
    <w:rsid w:val="00A63304"/>
    <w:rsid w:val="00A63CC2"/>
    <w:rsid w:val="00A64499"/>
    <w:rsid w:val="00A64A96"/>
    <w:rsid w:val="00A67B18"/>
    <w:rsid w:val="00A71DE3"/>
    <w:rsid w:val="00A72EC8"/>
    <w:rsid w:val="00A7597E"/>
    <w:rsid w:val="00A903F1"/>
    <w:rsid w:val="00A90B9D"/>
    <w:rsid w:val="00AA1BB4"/>
    <w:rsid w:val="00AB0B0B"/>
    <w:rsid w:val="00AB3FA2"/>
    <w:rsid w:val="00AB58C8"/>
    <w:rsid w:val="00AD0460"/>
    <w:rsid w:val="00AD68D2"/>
    <w:rsid w:val="00AD7F4B"/>
    <w:rsid w:val="00AE03E4"/>
    <w:rsid w:val="00B133C0"/>
    <w:rsid w:val="00B21F5C"/>
    <w:rsid w:val="00B335D4"/>
    <w:rsid w:val="00B34B15"/>
    <w:rsid w:val="00B35873"/>
    <w:rsid w:val="00B67681"/>
    <w:rsid w:val="00B85BFD"/>
    <w:rsid w:val="00B95AAD"/>
    <w:rsid w:val="00BA2AA7"/>
    <w:rsid w:val="00BB6CF2"/>
    <w:rsid w:val="00BC1E6B"/>
    <w:rsid w:val="00BD0DE8"/>
    <w:rsid w:val="00BD32A0"/>
    <w:rsid w:val="00C10DE9"/>
    <w:rsid w:val="00C133B9"/>
    <w:rsid w:val="00C24104"/>
    <w:rsid w:val="00C42729"/>
    <w:rsid w:val="00C73065"/>
    <w:rsid w:val="00CA483F"/>
    <w:rsid w:val="00CB1974"/>
    <w:rsid w:val="00CD21C0"/>
    <w:rsid w:val="00CD248A"/>
    <w:rsid w:val="00CD4767"/>
    <w:rsid w:val="00CE7839"/>
    <w:rsid w:val="00D02C3F"/>
    <w:rsid w:val="00D06E8C"/>
    <w:rsid w:val="00D10D5B"/>
    <w:rsid w:val="00D1390E"/>
    <w:rsid w:val="00D15C1F"/>
    <w:rsid w:val="00D215DC"/>
    <w:rsid w:val="00D3216F"/>
    <w:rsid w:val="00D32B82"/>
    <w:rsid w:val="00D35A99"/>
    <w:rsid w:val="00D372D6"/>
    <w:rsid w:val="00D52D7D"/>
    <w:rsid w:val="00D62CBE"/>
    <w:rsid w:val="00D62F89"/>
    <w:rsid w:val="00D64F6F"/>
    <w:rsid w:val="00D65A31"/>
    <w:rsid w:val="00D67771"/>
    <w:rsid w:val="00D73992"/>
    <w:rsid w:val="00D91056"/>
    <w:rsid w:val="00DA4BB9"/>
    <w:rsid w:val="00DB0811"/>
    <w:rsid w:val="00DB4549"/>
    <w:rsid w:val="00DC5708"/>
    <w:rsid w:val="00DE4DD3"/>
    <w:rsid w:val="00DE502F"/>
    <w:rsid w:val="00DF3C12"/>
    <w:rsid w:val="00DF4899"/>
    <w:rsid w:val="00DF4990"/>
    <w:rsid w:val="00DF7C44"/>
    <w:rsid w:val="00E027FF"/>
    <w:rsid w:val="00E02EC2"/>
    <w:rsid w:val="00E22AE0"/>
    <w:rsid w:val="00E22EF0"/>
    <w:rsid w:val="00E26975"/>
    <w:rsid w:val="00E32514"/>
    <w:rsid w:val="00E42581"/>
    <w:rsid w:val="00E44A2E"/>
    <w:rsid w:val="00E4721F"/>
    <w:rsid w:val="00E55FB4"/>
    <w:rsid w:val="00E61FC0"/>
    <w:rsid w:val="00E6551E"/>
    <w:rsid w:val="00E65BD9"/>
    <w:rsid w:val="00E6608D"/>
    <w:rsid w:val="00E6628E"/>
    <w:rsid w:val="00E73E80"/>
    <w:rsid w:val="00E76C27"/>
    <w:rsid w:val="00E96F4C"/>
    <w:rsid w:val="00EA20E0"/>
    <w:rsid w:val="00EA4387"/>
    <w:rsid w:val="00EB091A"/>
    <w:rsid w:val="00EC5385"/>
    <w:rsid w:val="00EC6509"/>
    <w:rsid w:val="00EE143B"/>
    <w:rsid w:val="00EE4A56"/>
    <w:rsid w:val="00EE7901"/>
    <w:rsid w:val="00EF7479"/>
    <w:rsid w:val="00F012D1"/>
    <w:rsid w:val="00F052C6"/>
    <w:rsid w:val="00F2105F"/>
    <w:rsid w:val="00F551EA"/>
    <w:rsid w:val="00F57E2E"/>
    <w:rsid w:val="00F66A33"/>
    <w:rsid w:val="00F73367"/>
    <w:rsid w:val="00F73D27"/>
    <w:rsid w:val="00F741F1"/>
    <w:rsid w:val="00F80A28"/>
    <w:rsid w:val="00F91BED"/>
    <w:rsid w:val="00F9538C"/>
    <w:rsid w:val="00F97808"/>
    <w:rsid w:val="00FA7F3D"/>
    <w:rsid w:val="00FB2D03"/>
    <w:rsid w:val="00FE057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FAA33E7"/>
  <w15:chartTrackingRefBased/>
  <w15:docId w15:val="{DE1B432B-F77F-45CB-80E0-CB7FC3E2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C3"/>
    <w:pPr>
      <w:ind w:left="720"/>
      <w:contextualSpacing/>
    </w:pPr>
  </w:style>
  <w:style w:type="character" w:customStyle="1" w:styleId="Heading2">
    <w:name w:val="Heading #2_"/>
    <w:link w:val="Heading20"/>
    <w:rsid w:val="00A903F1"/>
    <w:rPr>
      <w:rFonts w:ascii="Arial" w:hAnsi="Arial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link w:val="BodyText1"/>
    <w:rsid w:val="00A903F1"/>
    <w:rPr>
      <w:rFonts w:ascii="Arial" w:hAnsi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A903F1"/>
    <w:pPr>
      <w:widowControl w:val="0"/>
      <w:shd w:val="clear" w:color="auto" w:fill="FFFFFF"/>
      <w:spacing w:before="2460" w:after="720" w:line="240" w:lineRule="atLeast"/>
      <w:outlineLvl w:val="1"/>
    </w:pPr>
    <w:rPr>
      <w:rFonts w:ascii="Arial" w:hAnsi="Arial"/>
      <w:b/>
      <w:bCs/>
      <w:sz w:val="26"/>
      <w:szCs w:val="26"/>
    </w:rPr>
  </w:style>
  <w:style w:type="paragraph" w:customStyle="1" w:styleId="BodyText1">
    <w:name w:val="Body Text1"/>
    <w:basedOn w:val="Normal"/>
    <w:link w:val="Bodytext"/>
    <w:rsid w:val="00A903F1"/>
    <w:pPr>
      <w:widowControl w:val="0"/>
      <w:shd w:val="clear" w:color="auto" w:fill="FFFFFF"/>
      <w:spacing w:before="7020" w:after="60" w:line="252" w:lineRule="exact"/>
      <w:ind w:hanging="360"/>
      <w:jc w:val="both"/>
    </w:pPr>
    <w:rPr>
      <w:rFonts w:ascii="Arial" w:hAnsi="Arial"/>
    </w:rPr>
  </w:style>
  <w:style w:type="character" w:customStyle="1" w:styleId="Heading4">
    <w:name w:val="Heading #4_"/>
    <w:link w:val="Heading40"/>
    <w:rsid w:val="00F052C6"/>
    <w:rPr>
      <w:rFonts w:ascii="Arial" w:hAnsi="Arial"/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F052C6"/>
    <w:pPr>
      <w:widowControl w:val="0"/>
      <w:shd w:val="clear" w:color="auto" w:fill="FFFFFF"/>
      <w:spacing w:before="240" w:after="0" w:line="274" w:lineRule="exact"/>
      <w:outlineLvl w:val="3"/>
    </w:pPr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AE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2D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BB"/>
  </w:style>
  <w:style w:type="paragraph" w:styleId="Footer">
    <w:name w:val="footer"/>
    <w:basedOn w:val="Normal"/>
    <w:link w:val="FooterChar"/>
    <w:uiPriority w:val="99"/>
    <w:unhideWhenUsed/>
    <w:rsid w:val="003F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BB"/>
  </w:style>
  <w:style w:type="paragraph" w:styleId="BalloonText">
    <w:name w:val="Balloon Text"/>
    <w:basedOn w:val="Normal"/>
    <w:link w:val="BalloonTextChar"/>
    <w:uiPriority w:val="99"/>
    <w:semiHidden/>
    <w:unhideWhenUsed/>
    <w:rsid w:val="0032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9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61A2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1B8E-2B87-4B55-A236-E55247BD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E4822A38</Template>
  <TotalTime>3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Kate [NOMS]</dc:creator>
  <cp:keywords/>
  <dc:description/>
  <cp:lastModifiedBy>Pandor, Irfan [NOMS]</cp:lastModifiedBy>
  <cp:revision>3</cp:revision>
  <cp:lastPrinted>2018-10-16T07:24:00Z</cp:lastPrinted>
  <dcterms:created xsi:type="dcterms:W3CDTF">2019-06-25T12:45:00Z</dcterms:created>
  <dcterms:modified xsi:type="dcterms:W3CDTF">2019-06-25T13:16:00Z</dcterms:modified>
</cp:coreProperties>
</file>